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A60" w:rsidRDefault="009C178A" w:rsidP="00A86393">
      <w:pPr>
        <w:pStyle w:val="a7"/>
        <w:numPr>
          <w:ilvl w:val="0"/>
          <w:numId w:val="7"/>
        </w:numPr>
        <w:ind w:firstLineChars="0"/>
      </w:pPr>
      <w:r>
        <w:t>C</w:t>
      </w:r>
      <w:r>
        <w:rPr>
          <w:rFonts w:hint="eastAsia"/>
        </w:rPr>
        <w:t>lose</w:t>
      </w:r>
      <w:r>
        <w:t>-</w:t>
      </w:r>
      <w:r>
        <w:rPr>
          <w:rFonts w:hint="eastAsia"/>
        </w:rPr>
        <w:t>end</w:t>
      </w:r>
      <w:r>
        <w:t xml:space="preserve"> </w:t>
      </w:r>
      <w:r>
        <w:rPr>
          <w:rFonts w:hint="eastAsia"/>
        </w:rPr>
        <w:t>fund:</w:t>
      </w:r>
      <w:r>
        <w:t xml:space="preserve"> </w:t>
      </w:r>
      <w:bookmarkStart w:id="0" w:name="_GoBack"/>
      <w:bookmarkEnd w:id="0"/>
      <w:r w:rsidR="00A86393" w:rsidRPr="00A86393">
        <w:t>When establishing the fund, the initiator of the fund has set a limit on the total amount of issuance of the fund units. After the total amount is raised, the fund is declared to be established, closed, and will not accept new investment for a certain period of time. The circulation of fund units shall be carried out by listing on the stock exchange. Investors who buy or sell fund units in the future must conduct competitive trading on the secondary market through securities brokers.</w:t>
      </w:r>
    </w:p>
    <w:p w:rsidR="00A86393" w:rsidRDefault="00A86393" w:rsidP="00A86393">
      <w:pPr>
        <w:pStyle w:val="a7"/>
        <w:ind w:left="360" w:firstLineChars="0" w:firstLine="0"/>
      </w:pPr>
      <w:r>
        <w:t>(1) Premium issuance of closed-end funds: When the sponsors raise closed-end funds, the funds are often issued at a premium of about 10%;</w:t>
      </w:r>
    </w:p>
    <w:p w:rsidR="00A86393" w:rsidRDefault="00A86393" w:rsidP="00A86393">
      <w:pPr>
        <w:pStyle w:val="a7"/>
        <w:ind w:left="360" w:firstLineChars="0" w:firstLine="0"/>
      </w:pPr>
      <w:r>
        <w:t>(2) The trading price of closed-end funds will drop within about 120 days after the trading starts, and the discount during trading is more than 10%, and the discount trading is always maintained;</w:t>
      </w:r>
    </w:p>
    <w:p w:rsidR="00A86393" w:rsidRDefault="00A86393" w:rsidP="00A86393">
      <w:pPr>
        <w:pStyle w:val="a7"/>
        <w:ind w:left="360" w:firstLineChars="0" w:firstLine="0"/>
      </w:pPr>
      <w:r>
        <w:t>(3) The discount rate of closed-end funds fluctuates significantly, and the degree of trading fluctuates with time;</w:t>
      </w:r>
    </w:p>
    <w:p w:rsidR="00A86393" w:rsidRDefault="00A86393" w:rsidP="00A86393">
      <w:pPr>
        <w:pStyle w:val="a7"/>
        <w:ind w:left="360" w:firstLineChars="0" w:firstLine="0"/>
      </w:pPr>
      <w:r>
        <w:t>(4) When a closed-end fund is declared to be liquidated or converted into an open-end fund, the price of the fund will rise significantly and the discount will become smaller, but a small part of the discount will remain until the final liquidation or conversion to an open-end fund.</w:t>
      </w:r>
    </w:p>
    <w:p w:rsidR="00A86393" w:rsidRDefault="00A86393" w:rsidP="00A86393">
      <w:pPr>
        <w:pStyle w:val="a7"/>
        <w:ind w:left="360" w:firstLineChars="0" w:firstLine="0"/>
      </w:pPr>
      <w:r w:rsidRPr="00A86393">
        <w:t>Closed-end fund puzzle</w:t>
      </w:r>
      <w:r>
        <w:t xml:space="preserve">: </w:t>
      </w:r>
      <w:r w:rsidRPr="00A86393">
        <w:t>It refers to a financial phenomenon that the price of closed-end funds deviates from the net asset value for a long time</w:t>
      </w:r>
      <w:r>
        <w:t>.</w:t>
      </w:r>
    </w:p>
    <w:p w:rsidR="00A86393" w:rsidRDefault="00A86393" w:rsidP="00A86393">
      <w:pPr>
        <w:pStyle w:val="a7"/>
        <w:ind w:left="360" w:firstLineChars="0" w:firstLine="0"/>
      </w:pPr>
      <w:r>
        <w:t>It includes: (1) The riddle of the premium issuance of closed-end funds</w:t>
      </w:r>
      <w:r>
        <w:rPr>
          <w:rFonts w:hint="eastAsia"/>
        </w:rPr>
        <w:t>;</w:t>
      </w:r>
      <w:r>
        <w:t xml:space="preserve"> (2) The Mystery of Closed </w:t>
      </w:r>
      <w:proofErr w:type="gramStart"/>
      <w:r>
        <w:t>end</w:t>
      </w:r>
      <w:proofErr w:type="gramEnd"/>
      <w:r>
        <w:t xml:space="preserve"> Fund Discount Trading</w:t>
      </w:r>
      <w:r>
        <w:rPr>
          <w:rFonts w:hint="eastAsia"/>
        </w:rPr>
        <w:t>;</w:t>
      </w:r>
      <w:r>
        <w:t xml:space="preserve"> (3) The Mystery of the Large Fluctuation of the Discount Rate of Closed end Funds</w:t>
      </w:r>
      <w:r>
        <w:rPr>
          <w:rFonts w:hint="eastAsia"/>
        </w:rPr>
        <w:t>;</w:t>
      </w:r>
      <w:r>
        <w:t xml:space="preserve"> (4) The Mystery of Closed end Fund Discount Reduction</w:t>
      </w:r>
    </w:p>
    <w:p w:rsidR="00A86393" w:rsidRDefault="00A86393" w:rsidP="00A86393">
      <w:pPr>
        <w:pStyle w:val="a7"/>
        <w:numPr>
          <w:ilvl w:val="0"/>
          <w:numId w:val="7"/>
        </w:numPr>
        <w:ind w:firstLineChars="0"/>
      </w:pPr>
      <w:r w:rsidRPr="00A86393">
        <w:t>Restricted stock hypothesis</w:t>
      </w:r>
      <w:r>
        <w:t>:</w:t>
      </w:r>
      <w:r w:rsidRPr="00A86393">
        <w:t xml:space="preserve"> </w:t>
      </w:r>
      <w:r>
        <w:t>Some funds invest a large amount of funds in stocks with circulation restrictions for a certain period of time. Due to the poor liquidity of such stocks, calculating the net asset value with their market value actually overstates the true net asset value of the fund.</w:t>
      </w:r>
    </w:p>
    <w:p w:rsidR="00A86393" w:rsidRDefault="00A86393" w:rsidP="00A86393">
      <w:pPr>
        <w:pStyle w:val="a7"/>
        <w:ind w:left="360" w:firstLineChars="0" w:firstLine="0"/>
      </w:pPr>
      <w:r>
        <w:t>Therefore, the fund price holding a large number of such stocks should have more discounts. However, this theory cannot explain that after the closed-end fund is converted into an open-end fund, the fund may still hold more shares, but the fund will no longer discount.</w:t>
      </w:r>
    </w:p>
    <w:p w:rsidR="00A86393" w:rsidRDefault="00A86393" w:rsidP="00A86393">
      <w:pPr>
        <w:pStyle w:val="a7"/>
        <w:ind w:left="360" w:firstLineChars="0" w:firstLine="0"/>
      </w:pPr>
      <w:r>
        <w:t>B</w:t>
      </w:r>
      <w:r w:rsidRPr="00A86393">
        <w:t>lock discount hypothesis</w:t>
      </w:r>
      <w:r>
        <w:t xml:space="preserve">: </w:t>
      </w:r>
      <w:r w:rsidRPr="00A86393">
        <w:t>The fund may hold too many shares of a company. Due to the liquidity risk, the realization value of such shares must be lower than the announced net asset present value. From this perspective, the fund should have a certain degree of discount</w:t>
      </w:r>
      <w:r>
        <w:t>.</w:t>
      </w:r>
    </w:p>
    <w:p w:rsidR="00A86393" w:rsidRDefault="00A86393" w:rsidP="00A86393">
      <w:pPr>
        <w:pStyle w:val="a7"/>
        <w:numPr>
          <w:ilvl w:val="0"/>
          <w:numId w:val="7"/>
        </w:numPr>
        <w:ind w:firstLineChars="0"/>
      </w:pPr>
      <w:r w:rsidRPr="00A86393">
        <w:t xml:space="preserve">First, when noise traders are confident in the prospects of closed-end funds (or other assets that are also affected by investor sentiment changes), business operators can make profits by investing all their assets in closed-end funds and selling them to noise traders. In this theory, rational investors will not buy closed-end funds at first. On the contrary, if they can borrow certain fund shares, they will sell the funds short. At the beginning of fund raising, when the expected return of the fund is negative a few months later, some people will still buy the fund. This problem is easy to explain after introducing irrational investors. Noise traders who are very optimistic about the future return of the fund will do so. According to this theory, the existence of closed-end funds does not need to </w:t>
      </w:r>
      <w:r w:rsidRPr="00A86393">
        <w:lastRenderedPageBreak/>
        <w:t>conform to the principle of "efficient market". They are just tools used by smart investors to make profits by taking advantage of investors who have not entered the market deeply.</w:t>
      </w:r>
    </w:p>
    <w:p w:rsidR="00A86393" w:rsidRDefault="00A86393" w:rsidP="00A86393">
      <w:pPr>
        <w:pStyle w:val="a7"/>
        <w:ind w:left="360" w:firstLineChars="0" w:firstLine="0"/>
      </w:pPr>
      <w:r>
        <w:t>Second, the discount range of closed-end funds fluctuates with the change of investors' expectation of future earnings. In fact, the random variation of discount range is consistent with this theory, because it is the fluctuation of discount level that makes holding funds full of risks, and can also explain why prices are generally underestimated. If the discount range is fixed, even in the case of short-term investment, the arbitrageur can make profits through the risk-free operation of buying the fund and then shorting the asset portfolio held by the fund, so that the discount actually does not exist.</w:t>
      </w:r>
    </w:p>
    <w:p w:rsidR="00A86393" w:rsidRDefault="00A86393" w:rsidP="00A86393">
      <w:pPr>
        <w:pStyle w:val="a7"/>
        <w:ind w:left="360" w:firstLineChars="0" w:firstLine="0"/>
      </w:pPr>
      <w:r>
        <w:t>Third, this theory also explains why the price will rise after the closed-end fund is declared to be an open-end fund, and the discount range will eventually disappear after it becomes an open-end fund or when it is actually liquidated. When the news that a fund will become an open-end fund or be liquidated (or this possibility increases) becomes known, the risk and discount of noise traders will disappear (decrease). On the date of news announcement, this risk has been greatly reduced, because any investor who buys the fund and sells short the asset portfolio held by the fund will already know how much they can finally make on the opening day.</w:t>
      </w:r>
    </w:p>
    <w:p w:rsidR="00A86393" w:rsidRPr="00F717D2" w:rsidRDefault="00A86393" w:rsidP="00A86393">
      <w:pPr>
        <w:pStyle w:val="a7"/>
        <w:ind w:left="360" w:firstLineChars="0" w:firstLine="0"/>
      </w:pPr>
      <w:r>
        <w:t>Even with the increase of discount, the risk of forced liquidation has disappeared. If there is still a small discount on the day of announcement or liquidation, it can only be due to the actual transaction cost of arbitrage or several factors mentioned in traditional theories. According to the investor sentiment theory, after the announcement of opening or liquidation, the existing discount will disappear or disappear completely.</w:t>
      </w:r>
    </w:p>
    <w:sectPr w:rsidR="00A86393" w:rsidRPr="00F717D2">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781" w:rsidRDefault="00094781" w:rsidP="001D5F58">
      <w:r>
        <w:separator/>
      </w:r>
    </w:p>
  </w:endnote>
  <w:endnote w:type="continuationSeparator" w:id="0">
    <w:p w:rsidR="00094781" w:rsidRDefault="00094781" w:rsidP="001D5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781" w:rsidRDefault="00094781" w:rsidP="001D5F58">
      <w:r>
        <w:separator/>
      </w:r>
    </w:p>
  </w:footnote>
  <w:footnote w:type="continuationSeparator" w:id="0">
    <w:p w:rsidR="00094781" w:rsidRDefault="00094781" w:rsidP="001D5F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90B6C"/>
    <w:multiLevelType w:val="hybridMultilevel"/>
    <w:tmpl w:val="646E2F34"/>
    <w:lvl w:ilvl="0" w:tplc="9DB01198">
      <w:start w:val="1"/>
      <w:numFmt w:val="decimal"/>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1" w15:restartNumberingAfterBreak="0">
    <w:nsid w:val="02035002"/>
    <w:multiLevelType w:val="hybridMultilevel"/>
    <w:tmpl w:val="0E2AA084"/>
    <w:lvl w:ilvl="0" w:tplc="A08230DE">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 w15:restartNumberingAfterBreak="0">
    <w:nsid w:val="11E706E4"/>
    <w:multiLevelType w:val="hybridMultilevel"/>
    <w:tmpl w:val="BA16721A"/>
    <w:lvl w:ilvl="0" w:tplc="0D500232">
      <w:start w:val="1"/>
      <w:numFmt w:val="lowerLetter"/>
      <w:lvlText w:val="%1."/>
      <w:lvlJc w:val="left"/>
      <w:pPr>
        <w:ind w:left="360" w:hanging="360"/>
      </w:pPr>
      <w:rPr>
        <w:rFonts w:hint="default"/>
        <w:sz w:val="2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374144B"/>
    <w:multiLevelType w:val="hybridMultilevel"/>
    <w:tmpl w:val="71E871F6"/>
    <w:lvl w:ilvl="0" w:tplc="F286AA7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9F91297"/>
    <w:multiLevelType w:val="hybridMultilevel"/>
    <w:tmpl w:val="D0FE3ACC"/>
    <w:lvl w:ilvl="0" w:tplc="0BBA59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25E59F5"/>
    <w:multiLevelType w:val="hybridMultilevel"/>
    <w:tmpl w:val="7E04ED5E"/>
    <w:lvl w:ilvl="0" w:tplc="3BBAAA7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4BF05A2"/>
    <w:multiLevelType w:val="hybridMultilevel"/>
    <w:tmpl w:val="BB2ACF7A"/>
    <w:lvl w:ilvl="0" w:tplc="1C3800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1"/>
  </w:num>
  <w:num w:numId="3">
    <w:abstractNumId w:val="6"/>
  </w:num>
  <w:num w:numId="4">
    <w:abstractNumId w:val="0"/>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91"/>
    <w:rsid w:val="00015844"/>
    <w:rsid w:val="00022BEB"/>
    <w:rsid w:val="00075CCD"/>
    <w:rsid w:val="00081102"/>
    <w:rsid w:val="00094781"/>
    <w:rsid w:val="000C3E4C"/>
    <w:rsid w:val="00114C60"/>
    <w:rsid w:val="0011568D"/>
    <w:rsid w:val="00194325"/>
    <w:rsid w:val="001D5F58"/>
    <w:rsid w:val="001E1642"/>
    <w:rsid w:val="001F45AC"/>
    <w:rsid w:val="0022110D"/>
    <w:rsid w:val="002656A1"/>
    <w:rsid w:val="002F0191"/>
    <w:rsid w:val="002F78E2"/>
    <w:rsid w:val="0031548E"/>
    <w:rsid w:val="00317657"/>
    <w:rsid w:val="00320B18"/>
    <w:rsid w:val="00351BB8"/>
    <w:rsid w:val="00353A07"/>
    <w:rsid w:val="00397434"/>
    <w:rsid w:val="003A49F7"/>
    <w:rsid w:val="003C2062"/>
    <w:rsid w:val="0040023C"/>
    <w:rsid w:val="004170B7"/>
    <w:rsid w:val="00417874"/>
    <w:rsid w:val="00470275"/>
    <w:rsid w:val="00471856"/>
    <w:rsid w:val="004760DD"/>
    <w:rsid w:val="0047676B"/>
    <w:rsid w:val="004A350C"/>
    <w:rsid w:val="004D28B4"/>
    <w:rsid w:val="00544BDC"/>
    <w:rsid w:val="00560A62"/>
    <w:rsid w:val="005A4B39"/>
    <w:rsid w:val="005B445D"/>
    <w:rsid w:val="005D6A22"/>
    <w:rsid w:val="0061439C"/>
    <w:rsid w:val="006154C1"/>
    <w:rsid w:val="0067087C"/>
    <w:rsid w:val="006B5BD1"/>
    <w:rsid w:val="006D106B"/>
    <w:rsid w:val="006D2EE8"/>
    <w:rsid w:val="006D4780"/>
    <w:rsid w:val="006F290E"/>
    <w:rsid w:val="00750917"/>
    <w:rsid w:val="00750D0E"/>
    <w:rsid w:val="00750E3C"/>
    <w:rsid w:val="00785A3F"/>
    <w:rsid w:val="007D4FD4"/>
    <w:rsid w:val="007F22E1"/>
    <w:rsid w:val="007F4553"/>
    <w:rsid w:val="008104CA"/>
    <w:rsid w:val="008A4C5B"/>
    <w:rsid w:val="00962375"/>
    <w:rsid w:val="00980CD9"/>
    <w:rsid w:val="0099000E"/>
    <w:rsid w:val="009A2EA1"/>
    <w:rsid w:val="009C178A"/>
    <w:rsid w:val="00A30C89"/>
    <w:rsid w:val="00A4321F"/>
    <w:rsid w:val="00A50F3B"/>
    <w:rsid w:val="00A52171"/>
    <w:rsid w:val="00A75261"/>
    <w:rsid w:val="00A86393"/>
    <w:rsid w:val="00AE057B"/>
    <w:rsid w:val="00B26B20"/>
    <w:rsid w:val="00B31101"/>
    <w:rsid w:val="00B322B9"/>
    <w:rsid w:val="00B64BB6"/>
    <w:rsid w:val="00B86068"/>
    <w:rsid w:val="00BB5901"/>
    <w:rsid w:val="00BC42F7"/>
    <w:rsid w:val="00BD486B"/>
    <w:rsid w:val="00C1705F"/>
    <w:rsid w:val="00C20286"/>
    <w:rsid w:val="00C24AA7"/>
    <w:rsid w:val="00C604BE"/>
    <w:rsid w:val="00C9200F"/>
    <w:rsid w:val="00CA4E4A"/>
    <w:rsid w:val="00CD2264"/>
    <w:rsid w:val="00CF4712"/>
    <w:rsid w:val="00D22A9E"/>
    <w:rsid w:val="00D6701A"/>
    <w:rsid w:val="00D85E67"/>
    <w:rsid w:val="00DC22DF"/>
    <w:rsid w:val="00DC750B"/>
    <w:rsid w:val="00DE31E6"/>
    <w:rsid w:val="00E17C2D"/>
    <w:rsid w:val="00E478B1"/>
    <w:rsid w:val="00E620AE"/>
    <w:rsid w:val="00EC2992"/>
    <w:rsid w:val="00EC38C3"/>
    <w:rsid w:val="00F01610"/>
    <w:rsid w:val="00F447D0"/>
    <w:rsid w:val="00F52D10"/>
    <w:rsid w:val="00F717D2"/>
    <w:rsid w:val="00F86A60"/>
    <w:rsid w:val="00FD6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4B46A"/>
  <w15:chartTrackingRefBased/>
  <w15:docId w15:val="{2566C31C-587A-4EC7-9B2F-6FC7703FF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54C1"/>
    <w:pPr>
      <w:widowControl w:val="0"/>
      <w:jc w:val="both"/>
    </w:pPr>
  </w:style>
  <w:style w:type="paragraph" w:styleId="1">
    <w:name w:val="heading 1"/>
    <w:basedOn w:val="a"/>
    <w:next w:val="a"/>
    <w:link w:val="10"/>
    <w:uiPriority w:val="9"/>
    <w:qFormat/>
    <w:rsid w:val="00CA4E4A"/>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A4E4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5F5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D5F58"/>
    <w:rPr>
      <w:sz w:val="18"/>
      <w:szCs w:val="18"/>
    </w:rPr>
  </w:style>
  <w:style w:type="paragraph" w:styleId="a5">
    <w:name w:val="footer"/>
    <w:basedOn w:val="a"/>
    <w:link w:val="a6"/>
    <w:uiPriority w:val="99"/>
    <w:unhideWhenUsed/>
    <w:rsid w:val="001D5F58"/>
    <w:pPr>
      <w:tabs>
        <w:tab w:val="center" w:pos="4153"/>
        <w:tab w:val="right" w:pos="8306"/>
      </w:tabs>
      <w:snapToGrid w:val="0"/>
      <w:jc w:val="left"/>
    </w:pPr>
    <w:rPr>
      <w:sz w:val="18"/>
      <w:szCs w:val="18"/>
    </w:rPr>
  </w:style>
  <w:style w:type="character" w:customStyle="1" w:styleId="a6">
    <w:name w:val="页脚 字符"/>
    <w:basedOn w:val="a0"/>
    <w:link w:val="a5"/>
    <w:uiPriority w:val="99"/>
    <w:rsid w:val="001D5F58"/>
    <w:rPr>
      <w:sz w:val="18"/>
      <w:szCs w:val="18"/>
    </w:rPr>
  </w:style>
  <w:style w:type="paragraph" w:styleId="a7">
    <w:name w:val="List Paragraph"/>
    <w:basedOn w:val="a"/>
    <w:uiPriority w:val="34"/>
    <w:qFormat/>
    <w:rsid w:val="00320B18"/>
    <w:pPr>
      <w:ind w:firstLineChars="200" w:firstLine="420"/>
    </w:pPr>
  </w:style>
  <w:style w:type="character" w:styleId="a8">
    <w:name w:val="Hyperlink"/>
    <w:basedOn w:val="a0"/>
    <w:uiPriority w:val="99"/>
    <w:unhideWhenUsed/>
    <w:rsid w:val="004D28B4"/>
    <w:rPr>
      <w:color w:val="0000FF"/>
      <w:u w:val="single"/>
    </w:rPr>
  </w:style>
  <w:style w:type="character" w:customStyle="1" w:styleId="10">
    <w:name w:val="标题 1 字符"/>
    <w:basedOn w:val="a0"/>
    <w:link w:val="1"/>
    <w:uiPriority w:val="9"/>
    <w:rsid w:val="00CA4E4A"/>
    <w:rPr>
      <w:b/>
      <w:bCs/>
      <w:kern w:val="44"/>
      <w:sz w:val="44"/>
      <w:szCs w:val="44"/>
    </w:rPr>
  </w:style>
  <w:style w:type="character" w:customStyle="1" w:styleId="20">
    <w:name w:val="标题 2 字符"/>
    <w:basedOn w:val="a0"/>
    <w:link w:val="2"/>
    <w:uiPriority w:val="9"/>
    <w:rsid w:val="00CA4E4A"/>
    <w:rPr>
      <w:rFonts w:asciiTheme="majorHAnsi" w:eastAsiaTheme="majorEastAsia" w:hAnsiTheme="majorHAnsi" w:cstheme="majorBidi"/>
      <w:b/>
      <w:bCs/>
      <w:sz w:val="32"/>
      <w:szCs w:val="32"/>
    </w:rPr>
  </w:style>
  <w:style w:type="paragraph" w:styleId="a9">
    <w:name w:val="caption"/>
    <w:basedOn w:val="a"/>
    <w:next w:val="a"/>
    <w:uiPriority w:val="35"/>
    <w:unhideWhenUsed/>
    <w:qFormat/>
    <w:rsid w:val="007F22E1"/>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54727">
      <w:bodyDiv w:val="1"/>
      <w:marLeft w:val="0"/>
      <w:marRight w:val="0"/>
      <w:marTop w:val="0"/>
      <w:marBottom w:val="0"/>
      <w:divBdr>
        <w:top w:val="none" w:sz="0" w:space="0" w:color="auto"/>
        <w:left w:val="none" w:sz="0" w:space="0" w:color="auto"/>
        <w:bottom w:val="none" w:sz="0" w:space="0" w:color="auto"/>
        <w:right w:val="none" w:sz="0" w:space="0" w:color="auto"/>
      </w:divBdr>
      <w:divsChild>
        <w:div w:id="311760137">
          <w:marLeft w:val="0"/>
          <w:marRight w:val="0"/>
          <w:marTop w:val="0"/>
          <w:marBottom w:val="225"/>
          <w:divBdr>
            <w:top w:val="none" w:sz="0" w:space="0" w:color="auto"/>
            <w:left w:val="none" w:sz="0" w:space="0" w:color="auto"/>
            <w:bottom w:val="none" w:sz="0" w:space="0" w:color="auto"/>
            <w:right w:val="none" w:sz="0" w:space="0" w:color="auto"/>
          </w:divBdr>
        </w:div>
        <w:div w:id="2051955696">
          <w:marLeft w:val="0"/>
          <w:marRight w:val="0"/>
          <w:marTop w:val="0"/>
          <w:marBottom w:val="225"/>
          <w:divBdr>
            <w:top w:val="none" w:sz="0" w:space="0" w:color="auto"/>
            <w:left w:val="none" w:sz="0" w:space="0" w:color="auto"/>
            <w:bottom w:val="none" w:sz="0" w:space="0" w:color="auto"/>
            <w:right w:val="none" w:sz="0" w:space="0" w:color="auto"/>
          </w:divBdr>
        </w:div>
      </w:divsChild>
    </w:div>
    <w:div w:id="488717292">
      <w:bodyDiv w:val="1"/>
      <w:marLeft w:val="0"/>
      <w:marRight w:val="0"/>
      <w:marTop w:val="0"/>
      <w:marBottom w:val="0"/>
      <w:divBdr>
        <w:top w:val="none" w:sz="0" w:space="0" w:color="auto"/>
        <w:left w:val="none" w:sz="0" w:space="0" w:color="auto"/>
        <w:bottom w:val="none" w:sz="0" w:space="0" w:color="auto"/>
        <w:right w:val="none" w:sz="0" w:space="0" w:color="auto"/>
      </w:divBdr>
    </w:div>
    <w:div w:id="578445633">
      <w:bodyDiv w:val="1"/>
      <w:marLeft w:val="0"/>
      <w:marRight w:val="0"/>
      <w:marTop w:val="0"/>
      <w:marBottom w:val="0"/>
      <w:divBdr>
        <w:top w:val="none" w:sz="0" w:space="0" w:color="auto"/>
        <w:left w:val="none" w:sz="0" w:space="0" w:color="auto"/>
        <w:bottom w:val="none" w:sz="0" w:space="0" w:color="auto"/>
        <w:right w:val="none" w:sz="0" w:space="0" w:color="auto"/>
      </w:divBdr>
    </w:div>
    <w:div w:id="1280725454">
      <w:bodyDiv w:val="1"/>
      <w:marLeft w:val="0"/>
      <w:marRight w:val="0"/>
      <w:marTop w:val="0"/>
      <w:marBottom w:val="0"/>
      <w:divBdr>
        <w:top w:val="none" w:sz="0" w:space="0" w:color="auto"/>
        <w:left w:val="none" w:sz="0" w:space="0" w:color="auto"/>
        <w:bottom w:val="none" w:sz="0" w:space="0" w:color="auto"/>
        <w:right w:val="none" w:sz="0" w:space="0" w:color="auto"/>
      </w:divBdr>
    </w:div>
    <w:div w:id="1547332058">
      <w:bodyDiv w:val="1"/>
      <w:marLeft w:val="0"/>
      <w:marRight w:val="0"/>
      <w:marTop w:val="0"/>
      <w:marBottom w:val="0"/>
      <w:divBdr>
        <w:top w:val="none" w:sz="0" w:space="0" w:color="auto"/>
        <w:left w:val="none" w:sz="0" w:space="0" w:color="auto"/>
        <w:bottom w:val="none" w:sz="0" w:space="0" w:color="auto"/>
        <w:right w:val="none" w:sz="0" w:space="0" w:color="auto"/>
      </w:divBdr>
    </w:div>
    <w:div w:id="1757021168">
      <w:bodyDiv w:val="1"/>
      <w:marLeft w:val="0"/>
      <w:marRight w:val="0"/>
      <w:marTop w:val="0"/>
      <w:marBottom w:val="0"/>
      <w:divBdr>
        <w:top w:val="none" w:sz="0" w:space="0" w:color="auto"/>
        <w:left w:val="none" w:sz="0" w:space="0" w:color="auto"/>
        <w:bottom w:val="none" w:sz="0" w:space="0" w:color="auto"/>
        <w:right w:val="none" w:sz="0" w:space="0" w:color="auto"/>
      </w:divBdr>
    </w:div>
    <w:div w:id="1861506458">
      <w:bodyDiv w:val="1"/>
      <w:marLeft w:val="0"/>
      <w:marRight w:val="0"/>
      <w:marTop w:val="0"/>
      <w:marBottom w:val="0"/>
      <w:divBdr>
        <w:top w:val="none" w:sz="0" w:space="0" w:color="auto"/>
        <w:left w:val="none" w:sz="0" w:space="0" w:color="auto"/>
        <w:bottom w:val="none" w:sz="0" w:space="0" w:color="auto"/>
        <w:right w:val="none" w:sz="0" w:space="0" w:color="auto"/>
      </w:divBdr>
      <w:divsChild>
        <w:div w:id="1014185619">
          <w:marLeft w:val="0"/>
          <w:marRight w:val="0"/>
          <w:marTop w:val="0"/>
          <w:marBottom w:val="0"/>
          <w:divBdr>
            <w:top w:val="none" w:sz="0" w:space="0" w:color="auto"/>
            <w:left w:val="none" w:sz="0" w:space="0" w:color="auto"/>
            <w:bottom w:val="none" w:sz="0" w:space="0" w:color="auto"/>
            <w:right w:val="none" w:sz="0" w:space="0" w:color="auto"/>
          </w:divBdr>
        </w:div>
      </w:divsChild>
    </w:div>
    <w:div w:id="187815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635</TotalTime>
  <Pages>1</Pages>
  <Words>772</Words>
  <Characters>4404</Characters>
  <Application>Microsoft Office Word</Application>
  <DocSecurity>0</DocSecurity>
  <Lines>36</Lines>
  <Paragraphs>10</Paragraphs>
  <ScaleCrop>false</ScaleCrop>
  <Company>Company</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cp:revision>
  <cp:lastPrinted>2022-11-28T02:17:00Z</cp:lastPrinted>
  <dcterms:created xsi:type="dcterms:W3CDTF">2022-02-24T12:44:00Z</dcterms:created>
  <dcterms:modified xsi:type="dcterms:W3CDTF">2022-11-28T08:21:00Z</dcterms:modified>
</cp:coreProperties>
</file>