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A62" w:rsidRDefault="00560A62" w:rsidP="00560A62">
      <w:pPr>
        <w:pStyle w:val="a7"/>
        <w:numPr>
          <w:ilvl w:val="0"/>
          <w:numId w:val="4"/>
        </w:numPr>
        <w:snapToGrid w:val="0"/>
        <w:ind w:firstLineChars="0"/>
      </w:pPr>
      <w:r w:rsidRPr="00560A62">
        <w:t xml:space="preserve">What factors did </w:t>
      </w:r>
      <w:proofErr w:type="spellStart"/>
      <w:r w:rsidRPr="00560A62">
        <w:t>Fama</w:t>
      </w:r>
      <w:proofErr w:type="spellEnd"/>
      <w:r w:rsidRPr="00560A62">
        <w:t xml:space="preserve"> and French examine that may explain stock returns? (identify the three measures)</w:t>
      </w:r>
    </w:p>
    <w:p w:rsidR="00560A62" w:rsidRDefault="00560A62" w:rsidP="00560A62">
      <w:pPr>
        <w:pStyle w:val="a7"/>
        <w:snapToGrid w:val="0"/>
        <w:ind w:left="1140" w:firstLineChars="0" w:firstLine="0"/>
      </w:pPr>
      <w:r w:rsidRPr="00962375">
        <w:rPr>
          <w:b/>
        </w:rPr>
        <w:t>A</w:t>
      </w:r>
      <w:r w:rsidRPr="00962375">
        <w:rPr>
          <w:rFonts w:hint="eastAsia"/>
          <w:b/>
        </w:rPr>
        <w:t>nswer:</w:t>
      </w:r>
      <w:r w:rsidRPr="00962375">
        <w:rPr>
          <w:b/>
        </w:rPr>
        <w:t xml:space="preserve"> </w:t>
      </w:r>
      <w:r>
        <w:t xml:space="preserve">The excess return of a portfolio (including a single stock) can be explained by its exposure to three factors: </w:t>
      </w:r>
    </w:p>
    <w:p w:rsidR="00C20286" w:rsidRDefault="00560A62" w:rsidP="00C20286">
      <w:pPr>
        <w:pStyle w:val="a7"/>
        <w:snapToGrid w:val="0"/>
        <w:ind w:left="1140" w:firstLineChars="0" w:firstLine="0"/>
      </w:pPr>
      <w:r>
        <w:t>A: M</w:t>
      </w:r>
      <w:r>
        <w:t>arket asset portfolio (R</w:t>
      </w:r>
      <w:r w:rsidRPr="00962375">
        <w:rPr>
          <w:vertAlign w:val="subscript"/>
        </w:rPr>
        <w:t>m</w:t>
      </w:r>
      <w:r w:rsidRPr="00560A62">
        <w:rPr>
          <w:rFonts w:ascii="微软雅黑" w:eastAsia="微软雅黑" w:hAnsi="微软雅黑" w:cs="微软雅黑" w:hint="eastAsia"/>
        </w:rPr>
        <w:t>−</w:t>
      </w:r>
      <w:proofErr w:type="spellStart"/>
      <w:r>
        <w:t>R</w:t>
      </w:r>
      <w:r w:rsidRPr="00962375">
        <w:rPr>
          <w:vertAlign w:val="subscript"/>
        </w:rPr>
        <w:t>f</w:t>
      </w:r>
      <w:proofErr w:type="spellEnd"/>
      <w:r>
        <w:t xml:space="preserve">). </w:t>
      </w:r>
      <w:r w:rsidR="00C20286" w:rsidRPr="00C20286">
        <w:t xml:space="preserve">The Capital Asset Pricing Model (CAPM) of Sharp (1964), </w:t>
      </w:r>
      <w:proofErr w:type="spellStart"/>
      <w:r w:rsidR="00C20286" w:rsidRPr="00C20286">
        <w:t>Lintner</w:t>
      </w:r>
      <w:proofErr w:type="spellEnd"/>
      <w:r w:rsidR="00C20286" w:rsidRPr="00C20286">
        <w:t xml:space="preserve"> (1965) and Black (1972) believes that the return of stocks is only linearly related to the systemic risk of the entire stock market. I.e. </w:t>
      </w:r>
      <w:proofErr w:type="spellStart"/>
      <w:r w:rsidR="00C20286" w:rsidRPr="00C20286">
        <w:t>Rit</w:t>
      </w:r>
      <w:proofErr w:type="spellEnd"/>
      <w:r w:rsidR="00C20286" w:rsidRPr="00C20286">
        <w:t xml:space="preserve"> </w:t>
      </w:r>
      <w:proofErr w:type="spellStart"/>
      <w:r w:rsidR="00C20286" w:rsidRPr="00C20286">
        <w:t>Rft</w:t>
      </w:r>
      <w:proofErr w:type="spellEnd"/>
      <w:r w:rsidR="00C20286" w:rsidRPr="00C20286">
        <w:t>= β I (</w:t>
      </w:r>
      <w:proofErr w:type="spellStart"/>
      <w:r w:rsidR="00C20286" w:rsidRPr="00C20286">
        <w:t>Rmt</w:t>
      </w:r>
      <w:proofErr w:type="spellEnd"/>
      <w:r w:rsidR="00C20286" w:rsidRPr="00C20286">
        <w:t xml:space="preserve"> </w:t>
      </w:r>
      <w:proofErr w:type="spellStart"/>
      <w:r w:rsidR="00C20286" w:rsidRPr="00C20286">
        <w:t>Rft</w:t>
      </w:r>
      <w:proofErr w:type="spellEnd"/>
      <w:r w:rsidR="00C20286" w:rsidRPr="00C20286">
        <w:t>), that is, the expected return of stocks is only related to the systematic risk of the market.</w:t>
      </w:r>
      <w:r w:rsidR="00C20286">
        <w:t xml:space="preserve"> </w:t>
      </w:r>
      <w:proofErr w:type="spellStart"/>
      <w:r w:rsidR="00C20286" w:rsidRPr="00C20286">
        <w:t>Fama</w:t>
      </w:r>
      <w:proofErr w:type="spellEnd"/>
      <w:r w:rsidR="00C20286" w:rsidRPr="00C20286">
        <w:t xml:space="preserve"> and French inherited the market risk premium in the CAPM model in their research.</w:t>
      </w:r>
      <w:r w:rsidR="00C20286">
        <w:t xml:space="preserve"> </w:t>
      </w:r>
      <w:proofErr w:type="gramStart"/>
      <w:r w:rsidRPr="00560A62">
        <w:t>The</w:t>
      </w:r>
      <w:proofErr w:type="gramEnd"/>
      <w:r w:rsidRPr="00560A62">
        <w:t xml:space="preserve"> market portfolio is used to explain the risk related to systematic risk in a single stock, measured by beta. Mainly explain the part of stock return that fluctuates in the same direction as the market</w:t>
      </w:r>
      <w:r>
        <w:t>.</w:t>
      </w:r>
    </w:p>
    <w:p w:rsidR="00560A62" w:rsidRDefault="00560A62" w:rsidP="00C20286">
      <w:pPr>
        <w:pStyle w:val="a7"/>
        <w:snapToGrid w:val="0"/>
        <w:ind w:left="1140" w:firstLineChars="0" w:firstLine="0"/>
      </w:pPr>
      <w:r>
        <w:t>B: Market value factor (SMB)</w:t>
      </w:r>
      <w:r w:rsidR="00C20286">
        <w:t>.</w:t>
      </w:r>
      <w:r w:rsidR="00C20286" w:rsidRPr="00C20286">
        <w:t xml:space="preserve"> In 1981, </w:t>
      </w:r>
      <w:proofErr w:type="spellStart"/>
      <w:r w:rsidR="00C20286" w:rsidRPr="00C20286">
        <w:t>Banz</w:t>
      </w:r>
      <w:proofErr w:type="spellEnd"/>
      <w:r w:rsidR="00C20286" w:rsidRPr="00C20286">
        <w:t xml:space="preserve"> found that in the American market, small market stocks tend to have higher returns. Later, </w:t>
      </w:r>
      <w:proofErr w:type="spellStart"/>
      <w:r w:rsidR="00C20286" w:rsidRPr="00C20286">
        <w:t>Fama</w:t>
      </w:r>
      <w:proofErr w:type="spellEnd"/>
      <w:r w:rsidR="00C20286" w:rsidRPr="00C20286">
        <w:t xml:space="preserve"> and French also found this phenomenon in their research on the relationship between average returns and factors of stocks (excluding financial stocks) traded in NYSE, AMEX and NASDAQ from 1963 to 1999</w:t>
      </w:r>
      <w:r w:rsidR="00C20286">
        <w:t>.</w:t>
      </w:r>
      <w:r w:rsidR="00C20286" w:rsidRPr="00C20286">
        <w:t xml:space="preserve"> Scholars believe that the reason why small market value stocks have higher returns may be that small market value factors have stronger periodicity and greater volatility of stock prices. Stocks with small market value have poorer liquidity, leading to higher capital cost and bankruptcy probability. These two risks enable investors to demand higher premiums than large market capitalization stocks. </w:t>
      </w:r>
      <w:r w:rsidR="00C20286">
        <w:t>Behavioral finance believes that Lottery Effect is an important reason for the existence of small market value stocks. Due to the large volatility of stocks with small market capitalization, their return distribution has obvious positive skew - the number of positive returns is low, but the tail of positive returns is long. This makes investors lose the market on average when investing in small cap stocks, but they have the opportuni</w:t>
      </w:r>
      <w:r w:rsidR="00C20286">
        <w:t>ty to earn huge excess returns.</w:t>
      </w:r>
    </w:p>
    <w:p w:rsidR="00560A62" w:rsidRDefault="00560A62" w:rsidP="00560A62">
      <w:pPr>
        <w:pStyle w:val="a7"/>
        <w:snapToGrid w:val="0"/>
        <w:ind w:left="1140" w:firstLineChars="0" w:firstLine="0"/>
      </w:pPr>
      <w:r>
        <w:t>C: B</w:t>
      </w:r>
      <w:r>
        <w:t xml:space="preserve">ook to market ratio factor (HML). </w:t>
      </w:r>
      <w:r w:rsidR="00C20286" w:rsidRPr="00C20286">
        <w:t>The book to market ratio (BM) represents the growth opportunities that enterprises have. Stocks with a high BM will have a higher yield than stocks with a low BM. (The reasons are as follows: 1. Companies with high BM are all companies with poor fundamental performance. Their financial situation is fragile and their risks are high. Their high returns are actually a compensation for high risks. 2. Companies with low BM tend to perform a little better than companies with high BM in terms of fundamental performance. Investors overreact to them, unreasonably overestimate companies with low BM (overly optimistic), and unreasonably underestimate companies with high BM (overly pessimistic), But when this bias is corrected, high BM companies will gain higher profits than low BM companies. 3. High BM stocks are usually called value stocks (white horse stocks), and low BM stocks are usually called growth stocks (glamour). Growth stocks are often overvalued due to their good performance in fundamentals. Value stocks are undervalued because they maintain stability and lack growth momentum. Therefore, we can buy stocks of value stocks at a lower price to achieve greater returns in the future.)</w:t>
      </w:r>
    </w:p>
    <w:p w:rsidR="00560A62" w:rsidRDefault="00560A62" w:rsidP="00560A62">
      <w:pPr>
        <w:pStyle w:val="a7"/>
        <w:snapToGrid w:val="0"/>
        <w:ind w:left="1140" w:firstLineChars="0" w:firstLine="0"/>
      </w:pPr>
      <w:r>
        <w:t>This multi factor equilibrium pricing model can be expressed as:</w:t>
      </w:r>
    </w:p>
    <w:p w:rsidR="00560A62" w:rsidRDefault="00560A62" w:rsidP="00560A62">
      <w:pPr>
        <w:pStyle w:val="a7"/>
        <w:snapToGrid w:val="0"/>
        <w:ind w:left="1140" w:firstLineChars="0" w:firstLine="0"/>
      </w:pPr>
      <w:r>
        <w:t>E(</w:t>
      </w:r>
      <w:proofErr w:type="spellStart"/>
      <w:r>
        <w:t>R</w:t>
      </w:r>
      <w:r w:rsidRPr="00560A62">
        <w:rPr>
          <w:sz w:val="20"/>
          <w:vertAlign w:val="subscript"/>
        </w:rPr>
        <w:t>it</w:t>
      </w:r>
      <w:proofErr w:type="spellEnd"/>
      <w:r>
        <w:t>)</w:t>
      </w:r>
      <w:r w:rsidRPr="00560A62">
        <w:rPr>
          <w:rFonts w:ascii="微软雅黑" w:eastAsia="微软雅黑" w:hAnsi="微软雅黑" w:cs="微软雅黑" w:hint="eastAsia"/>
        </w:rPr>
        <w:t>−</w:t>
      </w:r>
      <w:proofErr w:type="spellStart"/>
      <w:r>
        <w:t>R</w:t>
      </w:r>
      <w:r w:rsidRPr="00560A62">
        <w:rPr>
          <w:sz w:val="20"/>
          <w:vertAlign w:val="subscript"/>
        </w:rPr>
        <w:t>ft</w:t>
      </w:r>
      <w:proofErr w:type="spellEnd"/>
      <w:r>
        <w:t>=</w:t>
      </w:r>
      <w:r w:rsidRPr="00560A62">
        <w:rPr>
          <w:rFonts w:hint="eastAsia"/>
        </w:rPr>
        <w:t>β</w:t>
      </w:r>
      <w:proofErr w:type="spellStart"/>
      <w:r w:rsidRPr="00560A62">
        <w:rPr>
          <w:sz w:val="20"/>
          <w:vertAlign w:val="subscript"/>
        </w:rPr>
        <w:t>i</w:t>
      </w:r>
      <w:proofErr w:type="spellEnd"/>
      <w:r>
        <w:t>[E(</w:t>
      </w:r>
      <w:proofErr w:type="spellStart"/>
      <w:r>
        <w:t>R</w:t>
      </w:r>
      <w:r w:rsidRPr="00560A62">
        <w:rPr>
          <w:sz w:val="20"/>
          <w:vertAlign w:val="subscript"/>
        </w:rPr>
        <w:t>mt</w:t>
      </w:r>
      <w:proofErr w:type="spellEnd"/>
      <w:r w:rsidRPr="00560A62">
        <w:rPr>
          <w:rFonts w:ascii="微软雅黑" w:eastAsia="微软雅黑" w:hAnsi="微软雅黑" w:cs="微软雅黑" w:hint="eastAsia"/>
        </w:rPr>
        <w:t>−</w:t>
      </w:r>
      <w:proofErr w:type="spellStart"/>
      <w:r>
        <w:t>R</w:t>
      </w:r>
      <w:r w:rsidRPr="00560A62">
        <w:rPr>
          <w:sz w:val="20"/>
          <w:vertAlign w:val="subscript"/>
        </w:rPr>
        <w:t>ft</w:t>
      </w:r>
      <w:proofErr w:type="spellEnd"/>
      <w:r>
        <w:t>)] +</w:t>
      </w:r>
      <w:proofErr w:type="spellStart"/>
      <w:r>
        <w:t>s</w:t>
      </w:r>
      <w:r w:rsidRPr="00560A62">
        <w:rPr>
          <w:sz w:val="20"/>
          <w:vertAlign w:val="subscript"/>
        </w:rPr>
        <w:t>i</w:t>
      </w:r>
      <w:r>
        <w:t>E</w:t>
      </w:r>
      <w:proofErr w:type="spellEnd"/>
      <w:r>
        <w:t>(</w:t>
      </w:r>
      <w:proofErr w:type="spellStart"/>
      <w:r>
        <w:t>SMB</w:t>
      </w:r>
      <w:r w:rsidRPr="00560A62">
        <w:rPr>
          <w:sz w:val="20"/>
          <w:vertAlign w:val="subscript"/>
        </w:rPr>
        <w:t>t</w:t>
      </w:r>
      <w:proofErr w:type="spellEnd"/>
      <w:r>
        <w:t>) +</w:t>
      </w:r>
      <w:proofErr w:type="spellStart"/>
      <w:r>
        <w:t>hiE</w:t>
      </w:r>
      <w:proofErr w:type="spellEnd"/>
      <w:r>
        <w:t>(</w:t>
      </w:r>
      <w:proofErr w:type="spellStart"/>
      <w:r>
        <w:t>HMI</w:t>
      </w:r>
      <w:r w:rsidRPr="00560A62">
        <w:rPr>
          <w:sz w:val="20"/>
          <w:vertAlign w:val="subscript"/>
        </w:rPr>
        <w:t>t</w:t>
      </w:r>
      <w:proofErr w:type="spellEnd"/>
      <w:r>
        <w:t>)</w:t>
      </w:r>
      <w:r w:rsidRPr="00560A62">
        <w:t xml:space="preserve"> </w:t>
      </w:r>
    </w:p>
    <w:p w:rsidR="00560A62" w:rsidRDefault="00560A62" w:rsidP="00560A62">
      <w:pPr>
        <w:pStyle w:val="a7"/>
        <w:snapToGrid w:val="0"/>
        <w:ind w:left="1140" w:firstLineChars="0" w:firstLine="0"/>
      </w:pPr>
      <w:r w:rsidRPr="00560A62">
        <w:t xml:space="preserve">Where </w:t>
      </w:r>
      <w:proofErr w:type="spellStart"/>
      <w:r w:rsidRPr="00560A62">
        <w:t>R</w:t>
      </w:r>
      <w:r w:rsidRPr="00560A62">
        <w:rPr>
          <w:sz w:val="20"/>
          <w:vertAlign w:val="subscript"/>
        </w:rPr>
        <w:t>ft</w:t>
      </w:r>
      <w:proofErr w:type="spellEnd"/>
      <w:r w:rsidRPr="00560A62">
        <w:rPr>
          <w:sz w:val="20"/>
          <w:vertAlign w:val="subscript"/>
        </w:rPr>
        <w:t xml:space="preserve"> </w:t>
      </w:r>
      <w:r w:rsidRPr="00560A62">
        <w:t xml:space="preserve">is the risk-free rate of return on time t; </w:t>
      </w:r>
      <w:proofErr w:type="spellStart"/>
      <w:r w:rsidRPr="00560A62">
        <w:t>R</w:t>
      </w:r>
      <w:r w:rsidRPr="00560A62">
        <w:rPr>
          <w:sz w:val="20"/>
          <w:vertAlign w:val="subscript"/>
        </w:rPr>
        <w:t>mt</w:t>
      </w:r>
      <w:proofErr w:type="spellEnd"/>
      <w:r w:rsidRPr="00560A62">
        <w:t xml:space="preserve"> is the market yield of time t; </w:t>
      </w:r>
      <w:proofErr w:type="spellStart"/>
      <w:r w:rsidRPr="00560A62">
        <w:t>R</w:t>
      </w:r>
      <w:r w:rsidRPr="00560A62">
        <w:rPr>
          <w:sz w:val="20"/>
          <w:vertAlign w:val="subscript"/>
        </w:rPr>
        <w:t>it</w:t>
      </w:r>
      <w:proofErr w:type="spellEnd"/>
      <w:r w:rsidRPr="00560A62">
        <w:t xml:space="preserve"> represents the yield o</w:t>
      </w:r>
      <w:r>
        <w:t xml:space="preserve">f asset </w:t>
      </w:r>
      <w:proofErr w:type="spellStart"/>
      <w:r>
        <w:t>i</w:t>
      </w:r>
      <w:proofErr w:type="spellEnd"/>
      <w:r>
        <w:t xml:space="preserve"> at time t; E (</w:t>
      </w:r>
      <w:proofErr w:type="spellStart"/>
      <w:r>
        <w:t>R</w:t>
      </w:r>
      <w:r w:rsidRPr="00560A62">
        <w:rPr>
          <w:sz w:val="20"/>
          <w:vertAlign w:val="subscript"/>
        </w:rPr>
        <w:t>mt</w:t>
      </w:r>
      <w:proofErr w:type="spellEnd"/>
      <w:r>
        <w:t>)</w:t>
      </w:r>
      <w:r w:rsidRPr="00560A62">
        <w:rPr>
          <w:rFonts w:ascii="微软雅黑" w:eastAsia="微软雅黑" w:hAnsi="微软雅黑" w:cs="微软雅黑" w:hint="eastAsia"/>
        </w:rPr>
        <w:t>−</w:t>
      </w:r>
      <w:proofErr w:type="spellStart"/>
      <w:r w:rsidRPr="00560A62">
        <w:t>R</w:t>
      </w:r>
      <w:r w:rsidRPr="00560A62">
        <w:rPr>
          <w:sz w:val="20"/>
          <w:vertAlign w:val="subscript"/>
        </w:rPr>
        <w:t>ft</w:t>
      </w:r>
      <w:proofErr w:type="spellEnd"/>
      <w:r w:rsidRPr="00560A62">
        <w:t xml:space="preserve"> is the market risk premium, </w:t>
      </w:r>
      <w:proofErr w:type="spellStart"/>
      <w:r w:rsidRPr="00560A62">
        <w:lastRenderedPageBreak/>
        <w:t>SMB</w:t>
      </w:r>
      <w:r w:rsidRPr="00560A62">
        <w:rPr>
          <w:sz w:val="20"/>
          <w:vertAlign w:val="subscript"/>
        </w:rPr>
        <w:t>t</w:t>
      </w:r>
      <w:proofErr w:type="spellEnd"/>
      <w:r w:rsidRPr="00560A62">
        <w:t xml:space="preserve"> is the simulated portfolio yield of the size factor of time t, and </w:t>
      </w:r>
      <w:proofErr w:type="spellStart"/>
      <w:r w:rsidRPr="00560A62">
        <w:t>HMI</w:t>
      </w:r>
      <w:r w:rsidRPr="00560A62">
        <w:rPr>
          <w:sz w:val="20"/>
          <w:vertAlign w:val="subscript"/>
        </w:rPr>
        <w:t>t</w:t>
      </w:r>
      <w:proofErr w:type="spellEnd"/>
      <w:r w:rsidRPr="00560A62">
        <w:t xml:space="preserve"> is the simulated portfolio yield of the book to market factor of time t</w:t>
      </w:r>
      <w:r>
        <w:t>.</w:t>
      </w:r>
    </w:p>
    <w:p w:rsidR="00C20286" w:rsidRDefault="00962375" w:rsidP="00560A62">
      <w:pPr>
        <w:pStyle w:val="a7"/>
        <w:snapToGrid w:val="0"/>
        <w:ind w:left="1140" w:firstLineChars="0" w:firstLine="0"/>
      </w:pPr>
      <w:r w:rsidRPr="00962375">
        <w:t xml:space="preserve">2）The CAPM is built on a single measure of risk (discuss what is this single measure) that explains asset returns. What measures of risk did </w:t>
      </w:r>
      <w:proofErr w:type="spellStart"/>
      <w:r w:rsidRPr="00962375">
        <w:t>Fama</w:t>
      </w:r>
      <w:proofErr w:type="spellEnd"/>
      <w:r w:rsidRPr="00962375">
        <w:t xml:space="preserve"> and French conclude were necessary to explain stock returns (Add-on from Q1, justify the three </w:t>
      </w:r>
      <w:proofErr w:type="gramStart"/>
      <w:r w:rsidRPr="00962375">
        <w:t>measures)</w:t>
      </w:r>
      <w:proofErr w:type="gramEnd"/>
    </w:p>
    <w:p w:rsidR="00962375" w:rsidRDefault="00962375" w:rsidP="00560A62">
      <w:pPr>
        <w:pStyle w:val="a7"/>
        <w:snapToGrid w:val="0"/>
        <w:ind w:left="1140" w:firstLineChars="0" w:firstLine="0"/>
      </w:pPr>
      <w:r w:rsidRPr="00962375">
        <w:rPr>
          <w:b/>
        </w:rPr>
        <w:t>Answer:</w:t>
      </w:r>
      <w:r w:rsidRPr="00962375">
        <w:t xml:space="preserve"> </w:t>
      </w:r>
      <w:r>
        <w:t>S</w:t>
      </w:r>
      <w:r w:rsidRPr="00962375">
        <w:t>ingle measure</w:t>
      </w:r>
      <w:r>
        <w:t>:</w:t>
      </w:r>
      <w:r w:rsidRPr="00962375">
        <w:t xml:space="preserve"> The system risk of a single asset is the degree of reflection of changes in the market portfolio, measured by beta coefficient. β It refers to the degree to which the market </w:t>
      </w:r>
      <w:proofErr w:type="gramStart"/>
      <w:r w:rsidRPr="00962375">
        <w:t>return</w:t>
      </w:r>
      <w:proofErr w:type="gramEnd"/>
      <w:r w:rsidRPr="00962375">
        <w:t xml:space="preserve"> rate changes and the return rate of individual assets changes at the same time. It is a standardized indicator to measure the contribution of individual assets to the variance of the market portfolio. </w:t>
      </w:r>
      <w:r w:rsidR="0099000E" w:rsidRPr="0099000E">
        <w:t>What is necessary for stock risk measurement is the three factor model we proposed in question 1 and some other factors.</w:t>
      </w:r>
    </w:p>
    <w:p w:rsidR="00962375" w:rsidRDefault="00962375" w:rsidP="00560A62">
      <w:pPr>
        <w:pStyle w:val="a7"/>
        <w:snapToGrid w:val="0"/>
        <w:ind w:left="1140" w:firstLineChars="0" w:firstLine="0"/>
      </w:pPr>
      <w:proofErr w:type="spellStart"/>
      <w:r w:rsidRPr="00962375">
        <w:t>Fama</w:t>
      </w:r>
      <w:proofErr w:type="spellEnd"/>
      <w:r w:rsidRPr="00962375">
        <w:t xml:space="preserve"> and France believe that a series of indicators such as book to market ratio (BE/ME) and inverse price to earnings ratio (E/P) have been found to explain the changes in stock prices</w:t>
      </w:r>
      <w:r>
        <w:rPr>
          <w:rFonts w:hint="eastAsia"/>
        </w:rPr>
        <w:t>.</w:t>
      </w:r>
      <w:r w:rsidR="0099000E" w:rsidRPr="0099000E">
        <w:t xml:space="preserve"> Take durable consumer goods and clothing industry in CGIS industry classification as an example</w:t>
      </w:r>
    </w:p>
    <w:p w:rsidR="00962375" w:rsidRDefault="0099000E" w:rsidP="00560A62">
      <w:pPr>
        <w:pStyle w:val="a7"/>
        <w:snapToGrid w:val="0"/>
        <w:ind w:left="1140" w:firstLineChars="0" w:firstLine="0"/>
        <w:rPr>
          <w:b/>
        </w:rPr>
      </w:pPr>
      <w:r>
        <w:rPr>
          <w:noProof/>
        </w:rPr>
        <w:drawing>
          <wp:inline distT="0" distB="0" distL="0" distR="0" wp14:anchorId="5A763A47" wp14:editId="58928E72">
            <wp:extent cx="4955219" cy="236664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67295" cy="2372412"/>
                    </a:xfrm>
                    <a:prstGeom prst="rect">
                      <a:avLst/>
                    </a:prstGeom>
                  </pic:spPr>
                </pic:pic>
              </a:graphicData>
            </a:graphic>
          </wp:inline>
        </w:drawing>
      </w:r>
    </w:p>
    <w:p w:rsidR="0099000E" w:rsidRDefault="0099000E" w:rsidP="00560A62">
      <w:pPr>
        <w:pStyle w:val="a7"/>
        <w:snapToGrid w:val="0"/>
        <w:ind w:left="1140" w:firstLineChars="0" w:firstLine="0"/>
      </w:pPr>
      <w:r w:rsidRPr="0099000E">
        <w:t xml:space="preserve">By analyzing the data of the first quarter of 2022, we can verify that </w:t>
      </w:r>
      <w:proofErr w:type="spellStart"/>
      <w:r w:rsidRPr="0099000E">
        <w:t>Fama</w:t>
      </w:r>
      <w:proofErr w:type="spellEnd"/>
      <w:r w:rsidRPr="0099000E">
        <w:t xml:space="preserve"> French's three factor model is correct. A series of indicators such as the book to market ratio (BE/ME) and the reciprocal price to earnings ratio (E/P) have been found to explain the changes in stock prices, that is, stock prices are related to a series of risk factors.</w:t>
      </w:r>
    </w:p>
    <w:p w:rsidR="0099000E" w:rsidRDefault="0099000E" w:rsidP="00560A62">
      <w:pPr>
        <w:pStyle w:val="a7"/>
        <w:snapToGrid w:val="0"/>
        <w:ind w:left="1140" w:firstLineChars="0" w:firstLine="0"/>
      </w:pPr>
      <w:r w:rsidRPr="0099000E">
        <w:t xml:space="preserve">3）Describe the CAPM model and the </w:t>
      </w:r>
      <w:proofErr w:type="spellStart"/>
      <w:r w:rsidRPr="0099000E">
        <w:t>Fama</w:t>
      </w:r>
      <w:proofErr w:type="spellEnd"/>
      <w:r w:rsidRPr="0099000E">
        <w:t xml:space="preserve"> and French model and the implications of these models for investors.</w:t>
      </w:r>
    </w:p>
    <w:p w:rsidR="0099000E" w:rsidRPr="0099000E" w:rsidRDefault="0099000E" w:rsidP="00560A62">
      <w:pPr>
        <w:pStyle w:val="a7"/>
        <w:snapToGrid w:val="0"/>
        <w:ind w:left="1140" w:firstLineChars="0" w:firstLine="0"/>
        <w:rPr>
          <w:b/>
        </w:rPr>
      </w:pPr>
      <w:r w:rsidRPr="0099000E">
        <w:rPr>
          <w:b/>
        </w:rPr>
        <w:t>Answer:</w:t>
      </w:r>
      <w:r>
        <w:rPr>
          <w:b/>
        </w:rPr>
        <w:t xml:space="preserve"> </w:t>
      </w:r>
      <w:r>
        <w:t>CAPM:</w:t>
      </w:r>
      <w:r w:rsidRPr="0099000E">
        <w:t xml:space="preserve"> The capital asset pricing model assumes that all investors invest according to Markowitz's asset selection theory, and their estimates of expected return, variance and covariance are identical, so investors can borrow freely. Based on this assumption, the focus of capital asset pricing model research is to explore the quantitative relationship between risk asset return and risk, that is, how much return should investors get in order to compensate for a certain degree of risk. The Capital Asset Pricing Model (CAPM for short) was developed by American scholars William Sharpe, John </w:t>
      </w:r>
      <w:proofErr w:type="spellStart"/>
      <w:r w:rsidRPr="0099000E">
        <w:t>Lintner</w:t>
      </w:r>
      <w:proofErr w:type="spellEnd"/>
      <w:r w:rsidRPr="0099000E">
        <w:t xml:space="preserve">, Jack </w:t>
      </w:r>
      <w:proofErr w:type="spellStart"/>
      <w:r w:rsidRPr="0099000E">
        <w:t>Treynor</w:t>
      </w:r>
      <w:proofErr w:type="spellEnd"/>
      <w:r w:rsidRPr="0099000E">
        <w:t xml:space="preserve"> and Jan </w:t>
      </w:r>
      <w:proofErr w:type="spellStart"/>
      <w:r w:rsidRPr="0099000E">
        <w:t>Mossin</w:t>
      </w:r>
      <w:proofErr w:type="spellEnd"/>
      <w:r w:rsidRPr="0099000E">
        <w:t xml:space="preserve"> in 1964 on the basis of asset portfolio theory and capital market theory</w:t>
      </w:r>
    </w:p>
    <w:p w:rsidR="00C20286" w:rsidRDefault="00C20286" w:rsidP="00560A62">
      <w:pPr>
        <w:pStyle w:val="a7"/>
        <w:snapToGrid w:val="0"/>
        <w:ind w:left="1140" w:firstLineChars="0" w:firstLine="0"/>
      </w:pPr>
      <w:r>
        <w:t>Reference:</w:t>
      </w:r>
      <w:r w:rsidRPr="00C20286">
        <w:t xml:space="preserve"> </w:t>
      </w:r>
    </w:p>
    <w:p w:rsidR="0099000E" w:rsidRDefault="0099000E" w:rsidP="0099000E">
      <w:pPr>
        <w:pStyle w:val="a7"/>
        <w:snapToGrid w:val="0"/>
        <w:ind w:left="1140"/>
      </w:pPr>
      <w:r>
        <w:t>E(</w:t>
      </w:r>
      <w:proofErr w:type="spellStart"/>
      <w:r>
        <w:t>ri</w:t>
      </w:r>
      <w:proofErr w:type="spellEnd"/>
      <w:r>
        <w:t>)=</w:t>
      </w:r>
      <w:proofErr w:type="spellStart"/>
      <w:r>
        <w:t>rf</w:t>
      </w:r>
      <w:proofErr w:type="spellEnd"/>
      <w:r>
        <w:t xml:space="preserve">+ β </w:t>
      </w:r>
      <w:proofErr w:type="spellStart"/>
      <w:r>
        <w:t>im</w:t>
      </w:r>
      <w:proofErr w:type="spellEnd"/>
      <w:r>
        <w:t>(E(</w:t>
      </w:r>
      <w:proofErr w:type="spellStart"/>
      <w:r>
        <w:t>rm</w:t>
      </w:r>
      <w:proofErr w:type="spellEnd"/>
      <w:r>
        <w:t>)-</w:t>
      </w:r>
      <w:proofErr w:type="spellStart"/>
      <w:r>
        <w:t>rf</w:t>
      </w:r>
      <w:proofErr w:type="spellEnd"/>
      <w:r>
        <w:t>)</w:t>
      </w:r>
    </w:p>
    <w:p w:rsidR="0099000E" w:rsidRDefault="0099000E" w:rsidP="0099000E">
      <w:pPr>
        <w:pStyle w:val="a7"/>
        <w:snapToGrid w:val="0"/>
        <w:ind w:left="1140" w:firstLineChars="0" w:firstLine="0"/>
      </w:pPr>
      <w:r>
        <w:lastRenderedPageBreak/>
        <w:t xml:space="preserve">The description of the capital asset pricing model is as follows: 1. The expected rate of return of a single security consists of two parts, the risk-free interest rate and the compensation for the risks undertaken - risk premium. 2. The size of risk premium depends on β The size of the value. β The higher the value, the higher the risk of a single security, and the higher the compensation. three β It measures the systematic risk of a single security, and there is no risk compensation for </w:t>
      </w:r>
      <w:proofErr w:type="spellStart"/>
      <w:r>
        <w:t>non systematic</w:t>
      </w:r>
      <w:proofErr w:type="spellEnd"/>
      <w:r>
        <w:t xml:space="preserve"> risk.</w:t>
      </w:r>
    </w:p>
    <w:p w:rsidR="0099000E" w:rsidRDefault="0099000E" w:rsidP="0099000E">
      <w:pPr>
        <w:pStyle w:val="a7"/>
        <w:snapToGrid w:val="0"/>
        <w:ind w:left="1140" w:firstLineChars="0" w:firstLine="0"/>
      </w:pPr>
      <w:r>
        <w:t xml:space="preserve">FF model: </w:t>
      </w:r>
      <w:r w:rsidRPr="0099000E">
        <w:t xml:space="preserve">The FF model believes that the beta value of the stock market cannot explain the difference between different stock returns, while the market value, book to market ratio and P/E ratio of listed companies can explain the difference between stock returns. </w:t>
      </w:r>
      <w:proofErr w:type="spellStart"/>
      <w:r w:rsidRPr="0099000E">
        <w:t>Fama</w:t>
      </w:r>
      <w:proofErr w:type="spellEnd"/>
      <w:r w:rsidRPr="0099000E">
        <w:t xml:space="preserve"> and French believe that the above excess returns are β Compensation for risk factors not </w:t>
      </w:r>
      <w:proofErr w:type="spellStart"/>
      <w:r w:rsidRPr="0099000E">
        <w:t>reflected.</w:t>
      </w:r>
      <w:proofErr w:type="spellEnd"/>
    </w:p>
    <w:p w:rsidR="0099000E" w:rsidRDefault="0099000E" w:rsidP="0099000E">
      <w:pPr>
        <w:pStyle w:val="a7"/>
        <w:snapToGrid w:val="0"/>
        <w:ind w:left="1140" w:firstLineChars="0" w:firstLine="0"/>
      </w:pPr>
      <w:r>
        <w:t>This multi factor equilibrium pricing model can be expressed as:</w:t>
      </w:r>
    </w:p>
    <w:p w:rsidR="0099000E" w:rsidRDefault="0099000E" w:rsidP="0099000E">
      <w:pPr>
        <w:pStyle w:val="a7"/>
        <w:snapToGrid w:val="0"/>
        <w:ind w:left="1140"/>
      </w:pPr>
      <w:r>
        <w:t>E(</w:t>
      </w:r>
      <w:proofErr w:type="spellStart"/>
      <w:r>
        <w:t>Rit</w:t>
      </w:r>
      <w:proofErr w:type="spellEnd"/>
      <w:r>
        <w:t>)</w:t>
      </w:r>
      <w:r>
        <w:rPr>
          <w:rFonts w:ascii="微软雅黑" w:eastAsia="微软雅黑" w:hAnsi="微软雅黑" w:cs="微软雅黑" w:hint="eastAsia"/>
        </w:rPr>
        <w:t>−</w:t>
      </w:r>
      <w:proofErr w:type="spellStart"/>
      <w:r>
        <w:t>Rft</w:t>
      </w:r>
      <w:proofErr w:type="spellEnd"/>
      <w:r>
        <w:t>=</w:t>
      </w:r>
      <w:r>
        <w:rPr>
          <w:rFonts w:ascii="等线" w:eastAsia="等线" w:hAnsi="等线" w:cs="等线" w:hint="eastAsia"/>
        </w:rPr>
        <w:t>β</w:t>
      </w:r>
      <w:proofErr w:type="spellStart"/>
      <w:r>
        <w:t>i</w:t>
      </w:r>
      <w:proofErr w:type="spellEnd"/>
      <w:r>
        <w:t>[E(</w:t>
      </w:r>
      <w:proofErr w:type="spellStart"/>
      <w:r>
        <w:t>Rmt</w:t>
      </w:r>
      <w:proofErr w:type="spellEnd"/>
      <w:r>
        <w:rPr>
          <w:rFonts w:ascii="微软雅黑" w:eastAsia="微软雅黑" w:hAnsi="微软雅黑" w:cs="微软雅黑" w:hint="eastAsia"/>
        </w:rPr>
        <w:t>−</w:t>
      </w:r>
      <w:proofErr w:type="spellStart"/>
      <w:r>
        <w:t>Rft</w:t>
      </w:r>
      <w:proofErr w:type="spellEnd"/>
      <w:r>
        <w:t>)] +</w:t>
      </w:r>
      <w:proofErr w:type="spellStart"/>
      <w:r>
        <w:t>siE</w:t>
      </w:r>
      <w:proofErr w:type="spellEnd"/>
      <w:r>
        <w:t>(</w:t>
      </w:r>
      <w:proofErr w:type="spellStart"/>
      <w:r>
        <w:t>SMBt</w:t>
      </w:r>
      <w:proofErr w:type="spellEnd"/>
      <w:r>
        <w:t>) +</w:t>
      </w:r>
      <w:proofErr w:type="spellStart"/>
      <w:r>
        <w:t>hiE</w:t>
      </w:r>
      <w:proofErr w:type="spellEnd"/>
      <w:r>
        <w:t>(</w:t>
      </w:r>
      <w:proofErr w:type="spellStart"/>
      <w:r>
        <w:t>HMIt</w:t>
      </w:r>
      <w:proofErr w:type="spellEnd"/>
      <w:r>
        <w:t xml:space="preserve">) </w:t>
      </w:r>
    </w:p>
    <w:p w:rsidR="0099000E" w:rsidRDefault="0099000E" w:rsidP="0099000E">
      <w:pPr>
        <w:pStyle w:val="a7"/>
        <w:snapToGrid w:val="0"/>
        <w:ind w:left="1140" w:firstLineChars="0" w:firstLine="0"/>
      </w:pPr>
      <w:r>
        <w:t xml:space="preserve">Where </w:t>
      </w:r>
      <w:proofErr w:type="spellStart"/>
      <w:r>
        <w:t>Rft</w:t>
      </w:r>
      <w:proofErr w:type="spellEnd"/>
      <w:r>
        <w:t xml:space="preserve"> is the risk-free rate of return on time t; </w:t>
      </w:r>
      <w:proofErr w:type="spellStart"/>
      <w:r>
        <w:t>Rmt</w:t>
      </w:r>
      <w:proofErr w:type="spellEnd"/>
      <w:r>
        <w:t xml:space="preserve"> is the market yield of time t; </w:t>
      </w:r>
      <w:proofErr w:type="spellStart"/>
      <w:r>
        <w:t>Rit</w:t>
      </w:r>
      <w:proofErr w:type="spellEnd"/>
      <w:r>
        <w:t xml:space="preserve"> represents the yield of asset </w:t>
      </w:r>
      <w:proofErr w:type="spellStart"/>
      <w:r>
        <w:t>i</w:t>
      </w:r>
      <w:proofErr w:type="spellEnd"/>
      <w:r>
        <w:t xml:space="preserve"> at time t; E (</w:t>
      </w:r>
      <w:proofErr w:type="spellStart"/>
      <w:r>
        <w:t>Rmt</w:t>
      </w:r>
      <w:proofErr w:type="spellEnd"/>
      <w:r>
        <w:t>)</w:t>
      </w:r>
      <w:r>
        <w:rPr>
          <w:rFonts w:ascii="微软雅黑" w:eastAsia="微软雅黑" w:hAnsi="微软雅黑" w:cs="微软雅黑" w:hint="eastAsia"/>
        </w:rPr>
        <w:t>−</w:t>
      </w:r>
      <w:proofErr w:type="spellStart"/>
      <w:r>
        <w:t>Rft</w:t>
      </w:r>
      <w:proofErr w:type="spellEnd"/>
      <w:r>
        <w:t xml:space="preserve"> is the market risk premium, </w:t>
      </w:r>
      <w:proofErr w:type="spellStart"/>
      <w:r>
        <w:t>SMBt</w:t>
      </w:r>
      <w:proofErr w:type="spellEnd"/>
      <w:r>
        <w:t xml:space="preserve"> is the simulated portfolio yield of the size factor of time t, and </w:t>
      </w:r>
      <w:proofErr w:type="spellStart"/>
      <w:r>
        <w:t>HMIt</w:t>
      </w:r>
      <w:proofErr w:type="spellEnd"/>
      <w:r>
        <w:t xml:space="preserve"> is the simulated portfolio yield of the book to market factor of time t.</w:t>
      </w:r>
    </w:p>
    <w:p w:rsidR="0099000E" w:rsidRDefault="0099000E" w:rsidP="0099000E">
      <w:pPr>
        <w:pStyle w:val="a7"/>
        <w:snapToGrid w:val="0"/>
        <w:ind w:left="1140" w:firstLineChars="0" w:firstLine="0"/>
      </w:pPr>
      <w:r w:rsidRPr="0099000E">
        <w:t>Impact on investors</w:t>
      </w:r>
      <w:r>
        <w:t>:</w:t>
      </w:r>
    </w:p>
    <w:p w:rsidR="0099000E" w:rsidRDefault="0099000E" w:rsidP="0099000E">
      <w:pPr>
        <w:pStyle w:val="a7"/>
        <w:snapToGrid w:val="0"/>
        <w:ind w:left="1140" w:firstLineChars="0" w:firstLine="0"/>
      </w:pPr>
      <w:r>
        <w:t>CAPM:</w:t>
      </w:r>
      <w:r w:rsidRPr="0099000E">
        <w:t xml:space="preserve"> Let investors realize that in an efficient market, they should pay more attention to investing in the beta of the market portfolio and obtaining alpha as much as possible in an inefficient market</w:t>
      </w:r>
      <w:r>
        <w:t>.</w:t>
      </w:r>
      <w:r w:rsidRPr="0099000E">
        <w:t xml:space="preserve"> Systematic risk and unsystematic risk together constitute the risk premium of the stock</w:t>
      </w:r>
      <w:r>
        <w:t>.</w:t>
      </w:r>
    </w:p>
    <w:p w:rsidR="0099000E" w:rsidRDefault="0099000E" w:rsidP="0099000E">
      <w:pPr>
        <w:pStyle w:val="a7"/>
        <w:snapToGrid w:val="0"/>
        <w:ind w:left="1140" w:firstLineChars="0" w:firstLine="0"/>
      </w:pPr>
      <w:r>
        <w:t>FF model:</w:t>
      </w:r>
      <w:r w:rsidRPr="0099000E">
        <w:t xml:space="preserve"> It explains the new factors that affec</w:t>
      </w:r>
      <w:bookmarkStart w:id="0" w:name="_GoBack"/>
      <w:bookmarkEnd w:id="0"/>
      <w:r w:rsidRPr="0099000E">
        <w:t>t the stock return rate, which makes investors more reasonable in measuring the actual stock price.</w:t>
      </w:r>
    </w:p>
    <w:p w:rsidR="0099000E" w:rsidRDefault="0099000E" w:rsidP="0099000E">
      <w:pPr>
        <w:pStyle w:val="a7"/>
        <w:snapToGrid w:val="0"/>
        <w:ind w:left="1140" w:firstLineChars="0" w:firstLine="0"/>
      </w:pPr>
    </w:p>
    <w:p w:rsidR="00C20286" w:rsidRDefault="00C20286" w:rsidP="00560A62">
      <w:pPr>
        <w:pStyle w:val="a7"/>
        <w:snapToGrid w:val="0"/>
        <w:ind w:left="1140" w:firstLineChars="0" w:firstLine="0"/>
      </w:pPr>
      <w:hyperlink r:id="rId8" w:history="1">
        <w:r w:rsidRPr="005F65D8">
          <w:rPr>
            <w:rStyle w:val="a8"/>
          </w:rPr>
          <w:t>https://onlinelibrary.wiley.com/doi/full/10.1111/j.1540-6261.1995.tb05169.x</w:t>
        </w:r>
      </w:hyperlink>
    </w:p>
    <w:p w:rsidR="00C20286" w:rsidRDefault="00962375" w:rsidP="00560A62">
      <w:pPr>
        <w:pStyle w:val="a7"/>
        <w:snapToGrid w:val="0"/>
        <w:ind w:left="1140" w:firstLineChars="0" w:firstLine="0"/>
      </w:pPr>
      <w:hyperlink r:id="rId9" w:history="1">
        <w:r w:rsidRPr="005F65D8">
          <w:rPr>
            <w:rStyle w:val="a8"/>
          </w:rPr>
          <w:t>https://www.sciencedirect.com/science/article/pii/S0304405X13002043</w:t>
        </w:r>
      </w:hyperlink>
    </w:p>
    <w:p w:rsidR="00962375" w:rsidRDefault="00962375" w:rsidP="00560A62">
      <w:pPr>
        <w:pStyle w:val="a7"/>
        <w:snapToGrid w:val="0"/>
        <w:ind w:left="1140" w:firstLineChars="0" w:firstLine="0"/>
      </w:pPr>
      <w:r w:rsidRPr="00962375">
        <w:t>https://academic.oup.com/qje/article/107/3/797/1873520</w:t>
      </w:r>
    </w:p>
    <w:p w:rsidR="00560A62" w:rsidRPr="006154C1" w:rsidRDefault="00560A62" w:rsidP="00560A62">
      <w:pPr>
        <w:pStyle w:val="a7"/>
        <w:snapToGrid w:val="0"/>
        <w:ind w:left="1140" w:firstLineChars="0" w:firstLine="0"/>
        <w:rPr>
          <w:rFonts w:hint="eastAsia"/>
        </w:rPr>
      </w:pPr>
    </w:p>
    <w:sectPr w:rsidR="00560A62" w:rsidRPr="006154C1">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8C3" w:rsidRDefault="00EC38C3" w:rsidP="001D5F58">
      <w:r>
        <w:separator/>
      </w:r>
    </w:p>
  </w:endnote>
  <w:endnote w:type="continuationSeparator" w:id="0">
    <w:p w:rsidR="00EC38C3" w:rsidRDefault="00EC38C3" w:rsidP="001D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8C3" w:rsidRDefault="00EC38C3" w:rsidP="001D5F58">
      <w:r>
        <w:separator/>
      </w:r>
    </w:p>
  </w:footnote>
  <w:footnote w:type="continuationSeparator" w:id="0">
    <w:p w:rsidR="00EC38C3" w:rsidRDefault="00EC38C3" w:rsidP="001D5F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B6C"/>
    <w:multiLevelType w:val="hybridMultilevel"/>
    <w:tmpl w:val="646E2F34"/>
    <w:lvl w:ilvl="0" w:tplc="9DB01198">
      <w:start w:val="1"/>
      <w:numFmt w:val="decimal"/>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1" w15:restartNumberingAfterBreak="0">
    <w:nsid w:val="02035002"/>
    <w:multiLevelType w:val="hybridMultilevel"/>
    <w:tmpl w:val="0E2AA084"/>
    <w:lvl w:ilvl="0" w:tplc="A08230D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49F91297"/>
    <w:multiLevelType w:val="hybridMultilevel"/>
    <w:tmpl w:val="D0FE3ACC"/>
    <w:lvl w:ilvl="0" w:tplc="0BBA59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4BF05A2"/>
    <w:multiLevelType w:val="hybridMultilevel"/>
    <w:tmpl w:val="BB2ACF7A"/>
    <w:lvl w:ilvl="0" w:tplc="1C3800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91"/>
    <w:rsid w:val="00015844"/>
    <w:rsid w:val="00075CCD"/>
    <w:rsid w:val="00081102"/>
    <w:rsid w:val="000C3E4C"/>
    <w:rsid w:val="00114C60"/>
    <w:rsid w:val="0011568D"/>
    <w:rsid w:val="00194325"/>
    <w:rsid w:val="001D5F58"/>
    <w:rsid w:val="001E1642"/>
    <w:rsid w:val="001F45AC"/>
    <w:rsid w:val="0022110D"/>
    <w:rsid w:val="002656A1"/>
    <w:rsid w:val="002F0191"/>
    <w:rsid w:val="0031548E"/>
    <w:rsid w:val="00320B18"/>
    <w:rsid w:val="00351BB8"/>
    <w:rsid w:val="00353A07"/>
    <w:rsid w:val="003A49F7"/>
    <w:rsid w:val="003C2062"/>
    <w:rsid w:val="00417874"/>
    <w:rsid w:val="00471856"/>
    <w:rsid w:val="004760DD"/>
    <w:rsid w:val="0047676B"/>
    <w:rsid w:val="004D28B4"/>
    <w:rsid w:val="00560A62"/>
    <w:rsid w:val="005A4B39"/>
    <w:rsid w:val="0061439C"/>
    <w:rsid w:val="006154C1"/>
    <w:rsid w:val="0067087C"/>
    <w:rsid w:val="006B5BD1"/>
    <w:rsid w:val="006D106B"/>
    <w:rsid w:val="006D2EE8"/>
    <w:rsid w:val="006F290E"/>
    <w:rsid w:val="00750917"/>
    <w:rsid w:val="00750D0E"/>
    <w:rsid w:val="00785A3F"/>
    <w:rsid w:val="007D4FD4"/>
    <w:rsid w:val="008104CA"/>
    <w:rsid w:val="00962375"/>
    <w:rsid w:val="00980CD9"/>
    <w:rsid w:val="0099000E"/>
    <w:rsid w:val="00A4321F"/>
    <w:rsid w:val="00A50F3B"/>
    <w:rsid w:val="00A52171"/>
    <w:rsid w:val="00B31101"/>
    <w:rsid w:val="00B322B9"/>
    <w:rsid w:val="00B64BB6"/>
    <w:rsid w:val="00B86068"/>
    <w:rsid w:val="00BC42F7"/>
    <w:rsid w:val="00BD486B"/>
    <w:rsid w:val="00C1705F"/>
    <w:rsid w:val="00C20286"/>
    <w:rsid w:val="00C24AA7"/>
    <w:rsid w:val="00C604BE"/>
    <w:rsid w:val="00C9200F"/>
    <w:rsid w:val="00CD2264"/>
    <w:rsid w:val="00CF4712"/>
    <w:rsid w:val="00D22A9E"/>
    <w:rsid w:val="00D85E67"/>
    <w:rsid w:val="00DC22DF"/>
    <w:rsid w:val="00DC750B"/>
    <w:rsid w:val="00DE31E6"/>
    <w:rsid w:val="00E17C2D"/>
    <w:rsid w:val="00E478B1"/>
    <w:rsid w:val="00EC2992"/>
    <w:rsid w:val="00EC38C3"/>
    <w:rsid w:val="00F01610"/>
    <w:rsid w:val="00F447D0"/>
    <w:rsid w:val="00F52D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EC3AB"/>
  <w15:chartTrackingRefBased/>
  <w15:docId w15:val="{2566C31C-587A-4EC7-9B2F-6FC7703F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4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F5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D5F58"/>
    <w:rPr>
      <w:sz w:val="18"/>
      <w:szCs w:val="18"/>
    </w:rPr>
  </w:style>
  <w:style w:type="paragraph" w:styleId="a5">
    <w:name w:val="footer"/>
    <w:basedOn w:val="a"/>
    <w:link w:val="a6"/>
    <w:uiPriority w:val="99"/>
    <w:unhideWhenUsed/>
    <w:rsid w:val="001D5F58"/>
    <w:pPr>
      <w:tabs>
        <w:tab w:val="center" w:pos="4153"/>
        <w:tab w:val="right" w:pos="8306"/>
      </w:tabs>
      <w:snapToGrid w:val="0"/>
      <w:jc w:val="left"/>
    </w:pPr>
    <w:rPr>
      <w:sz w:val="18"/>
      <w:szCs w:val="18"/>
    </w:rPr>
  </w:style>
  <w:style w:type="character" w:customStyle="1" w:styleId="a6">
    <w:name w:val="页脚 字符"/>
    <w:basedOn w:val="a0"/>
    <w:link w:val="a5"/>
    <w:uiPriority w:val="99"/>
    <w:rsid w:val="001D5F58"/>
    <w:rPr>
      <w:sz w:val="18"/>
      <w:szCs w:val="18"/>
    </w:rPr>
  </w:style>
  <w:style w:type="paragraph" w:styleId="a7">
    <w:name w:val="List Paragraph"/>
    <w:basedOn w:val="a"/>
    <w:uiPriority w:val="34"/>
    <w:qFormat/>
    <w:rsid w:val="00320B18"/>
    <w:pPr>
      <w:ind w:firstLineChars="200" w:firstLine="420"/>
    </w:pPr>
  </w:style>
  <w:style w:type="character" w:styleId="a8">
    <w:name w:val="Hyperlink"/>
    <w:basedOn w:val="a0"/>
    <w:uiPriority w:val="99"/>
    <w:unhideWhenUsed/>
    <w:rsid w:val="004D28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54727">
      <w:bodyDiv w:val="1"/>
      <w:marLeft w:val="0"/>
      <w:marRight w:val="0"/>
      <w:marTop w:val="0"/>
      <w:marBottom w:val="0"/>
      <w:divBdr>
        <w:top w:val="none" w:sz="0" w:space="0" w:color="auto"/>
        <w:left w:val="none" w:sz="0" w:space="0" w:color="auto"/>
        <w:bottom w:val="none" w:sz="0" w:space="0" w:color="auto"/>
        <w:right w:val="none" w:sz="0" w:space="0" w:color="auto"/>
      </w:divBdr>
      <w:divsChild>
        <w:div w:id="311760137">
          <w:marLeft w:val="0"/>
          <w:marRight w:val="0"/>
          <w:marTop w:val="0"/>
          <w:marBottom w:val="225"/>
          <w:divBdr>
            <w:top w:val="none" w:sz="0" w:space="0" w:color="auto"/>
            <w:left w:val="none" w:sz="0" w:space="0" w:color="auto"/>
            <w:bottom w:val="none" w:sz="0" w:space="0" w:color="auto"/>
            <w:right w:val="none" w:sz="0" w:space="0" w:color="auto"/>
          </w:divBdr>
        </w:div>
        <w:div w:id="2051955696">
          <w:marLeft w:val="0"/>
          <w:marRight w:val="0"/>
          <w:marTop w:val="0"/>
          <w:marBottom w:val="225"/>
          <w:divBdr>
            <w:top w:val="none" w:sz="0" w:space="0" w:color="auto"/>
            <w:left w:val="none" w:sz="0" w:space="0" w:color="auto"/>
            <w:bottom w:val="none" w:sz="0" w:space="0" w:color="auto"/>
            <w:right w:val="none" w:sz="0" w:space="0" w:color="auto"/>
          </w:divBdr>
        </w:div>
      </w:divsChild>
    </w:div>
    <w:div w:id="488717292">
      <w:bodyDiv w:val="1"/>
      <w:marLeft w:val="0"/>
      <w:marRight w:val="0"/>
      <w:marTop w:val="0"/>
      <w:marBottom w:val="0"/>
      <w:divBdr>
        <w:top w:val="none" w:sz="0" w:space="0" w:color="auto"/>
        <w:left w:val="none" w:sz="0" w:space="0" w:color="auto"/>
        <w:bottom w:val="none" w:sz="0" w:space="0" w:color="auto"/>
        <w:right w:val="none" w:sz="0" w:space="0" w:color="auto"/>
      </w:divBdr>
    </w:div>
    <w:div w:id="578445633">
      <w:bodyDiv w:val="1"/>
      <w:marLeft w:val="0"/>
      <w:marRight w:val="0"/>
      <w:marTop w:val="0"/>
      <w:marBottom w:val="0"/>
      <w:divBdr>
        <w:top w:val="none" w:sz="0" w:space="0" w:color="auto"/>
        <w:left w:val="none" w:sz="0" w:space="0" w:color="auto"/>
        <w:bottom w:val="none" w:sz="0" w:space="0" w:color="auto"/>
        <w:right w:val="none" w:sz="0" w:space="0" w:color="auto"/>
      </w:divBdr>
    </w:div>
    <w:div w:id="1280725454">
      <w:bodyDiv w:val="1"/>
      <w:marLeft w:val="0"/>
      <w:marRight w:val="0"/>
      <w:marTop w:val="0"/>
      <w:marBottom w:val="0"/>
      <w:divBdr>
        <w:top w:val="none" w:sz="0" w:space="0" w:color="auto"/>
        <w:left w:val="none" w:sz="0" w:space="0" w:color="auto"/>
        <w:bottom w:val="none" w:sz="0" w:space="0" w:color="auto"/>
        <w:right w:val="none" w:sz="0" w:space="0" w:color="auto"/>
      </w:divBdr>
    </w:div>
    <w:div w:id="1547332058">
      <w:bodyDiv w:val="1"/>
      <w:marLeft w:val="0"/>
      <w:marRight w:val="0"/>
      <w:marTop w:val="0"/>
      <w:marBottom w:val="0"/>
      <w:divBdr>
        <w:top w:val="none" w:sz="0" w:space="0" w:color="auto"/>
        <w:left w:val="none" w:sz="0" w:space="0" w:color="auto"/>
        <w:bottom w:val="none" w:sz="0" w:space="0" w:color="auto"/>
        <w:right w:val="none" w:sz="0" w:space="0" w:color="auto"/>
      </w:divBdr>
    </w:div>
    <w:div w:id="1757021168">
      <w:bodyDiv w:val="1"/>
      <w:marLeft w:val="0"/>
      <w:marRight w:val="0"/>
      <w:marTop w:val="0"/>
      <w:marBottom w:val="0"/>
      <w:divBdr>
        <w:top w:val="none" w:sz="0" w:space="0" w:color="auto"/>
        <w:left w:val="none" w:sz="0" w:space="0" w:color="auto"/>
        <w:bottom w:val="none" w:sz="0" w:space="0" w:color="auto"/>
        <w:right w:val="none" w:sz="0" w:space="0" w:color="auto"/>
      </w:divBdr>
    </w:div>
    <w:div w:id="187815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111/j.1540-6261.1995.tb05169.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ciencedirect.com/science/article/pii/S0304405X13002043" TargetMode="Externa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443</TotalTime>
  <Pages>1</Pages>
  <Words>1221</Words>
  <Characters>6965</Characters>
  <Application>Microsoft Office Word</Application>
  <DocSecurity>0</DocSecurity>
  <Lines>58</Lines>
  <Paragraphs>16</Paragraphs>
  <ScaleCrop>false</ScaleCrop>
  <Company>Company</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2022-03-17T03:56:00Z</cp:lastPrinted>
  <dcterms:created xsi:type="dcterms:W3CDTF">2022-02-24T12:44:00Z</dcterms:created>
  <dcterms:modified xsi:type="dcterms:W3CDTF">2022-09-19T03:44:00Z</dcterms:modified>
</cp:coreProperties>
</file>