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1"/>
        <w:rPr>
          <w:lang w:val="en-GB"/>
        </w:rPr>
      </w:pPr>
      <w:r>
        <w:rPr>
          <w:lang w:val="en-GB"/>
        </w:rPr>
        <w:t>Full Title of the Paper</w:t>
      </w:r>
    </w:p>
    <w:p>
      <w:pPr>
        <w:jc w:val="center"/>
        <w:rPr>
          <w:lang w:val="en-GB"/>
        </w:rPr>
      </w:pPr>
      <w:r>
        <w:rPr>
          <w:lang w:val="en-GB"/>
        </w:rPr>
        <w:t>Author Names</w:t>
      </w:r>
    </w:p>
    <w:p>
      <w:pPr>
        <w:jc w:val="center"/>
        <w:rPr>
          <w:lang w:val="en-GB"/>
        </w:rPr>
      </w:pPr>
      <w:r>
        <w:rPr>
          <w:lang w:val="en-GB"/>
        </w:rPr>
        <w:t>University</w:t>
      </w:r>
    </w:p>
    <w:p>
      <w:pPr>
        <w:ind w:firstLine="0"/>
        <w:rPr>
          <w:lang w:val="en-GB"/>
        </w:rPr>
      </w:pPr>
    </w:p>
    <w:p>
      <w:pPr>
        <w:rPr>
          <w:lang w:val="en-GB"/>
        </w:rPr>
        <w:sectPr>
          <w:headerReference r:id="rId5" w:type="default"/>
          <w:footerReference r:id="rId6" w:type="default"/>
          <w:pgSz w:w="12240" w:h="15840"/>
          <w:pgMar w:top="1440" w:right="1440" w:bottom="1440" w:left="1440" w:header="720" w:footer="720" w:gutter="0"/>
          <w:cols w:space="720" w:num="1"/>
          <w:vAlign w:val="center"/>
          <w:docGrid w:linePitch="360" w:charSpace="0"/>
        </w:sectPr>
      </w:pPr>
    </w:p>
    <w:p>
      <w:pPr>
        <w:pStyle w:val="2"/>
        <w:rPr>
          <w:b w:val="0"/>
          <w:lang w:val="en-GB"/>
        </w:rPr>
      </w:pPr>
      <w:bookmarkStart w:id="0" w:name="_Toc526501189"/>
      <w:bookmarkStart w:id="1" w:name="_Toc525824665"/>
      <w:r>
        <w:rPr>
          <w:b w:val="0"/>
          <w:lang w:val="en-GB"/>
        </w:rPr>
        <w:t>Abstract</w:t>
      </w:r>
      <w:bookmarkEnd w:id="0"/>
      <w:bookmarkEnd w:id="1"/>
    </w:p>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315" w:lineRule="atLeast"/>
        <w:ind w:left="0" w:right="0" w:firstLine="420"/>
        <w:jc w:val="both"/>
        <w:rPr>
          <w:rFonts w:hint="eastAsia" w:ascii="Times New Roman" w:hAnsi="Times New Roman" w:eastAsiaTheme="minorHAnsi" w:cstheme="minorBidi"/>
          <w:kern w:val="0"/>
          <w:sz w:val="24"/>
          <w:szCs w:val="22"/>
          <w:lang w:val="en-GB" w:eastAsia="en-US" w:bidi="ar-SA"/>
        </w:rPr>
      </w:pPr>
      <w:r>
        <w:rPr>
          <w:rFonts w:hint="eastAsia" w:ascii="Times New Roman" w:hAnsi="Times New Roman" w:eastAsiaTheme="minorHAnsi" w:cstheme="minorBidi"/>
          <w:kern w:val="0"/>
          <w:sz w:val="24"/>
          <w:szCs w:val="22"/>
          <w:lang w:val="en-GB" w:eastAsia="en-US" w:bidi="ar-SA"/>
        </w:rPr>
        <w:t>Based on the detailed study of the Green Land Joint Stock Company incident, this paper reflects on the problem of distortion of accounting information, in order to provide reference for the practical community. The securities market has played a positive role in raising funds, optimizing the allocation of resources, adjusting the economic structure, and promoting economic development. However, because China's securities market is still in its infancy, the legal system is not sound enough, as well as the lack of integrity of some enterprise operators and certain defects in the company's internal control, the quality of accounting information of listed companies in China cannot be guaranteed, and the phenomenon of distortion of accounting information is serious. In China's securities market, there were fraud cases of listed companies such as Yin Guangxia and Qiong Minyuan, and now the listed companies have broken out financial fraud scandals. Green Land was registered in the Yunnan Provincial Administration for Industry and Commerce on March 28, 2001 with a registered capital of 31.96 million yuan, mainly engaged in the design and construction of greening projects, planting and sales of green seedlings. In March 2010, due to the investigation of green land suspected of information disclosure violations, it was found that the company was suspected of inflating assets, inflating profits, inflating income and other violations of laws and regulations. The vicious financial fraud case of the listed company Green Land not only misleads the managers, investors and creditors to make reasonable judgments and decisions, but also causes great harm to the rational allocation of resources and the healthy development of the securities market. </w:t>
      </w:r>
    </w:p>
    <w:p>
      <w:pPr>
        <w:rPr>
          <w:lang w:val="en-GB"/>
        </w:rPr>
      </w:pPr>
      <w:r>
        <w:rPr>
          <w:i/>
          <w:lang w:val="en-GB"/>
        </w:rPr>
        <w:t>Keywords:</w:t>
      </w:r>
      <w:r>
        <w:rPr>
          <w:lang w:val="en-GB"/>
        </w:rPr>
        <w:t>,</w:t>
      </w:r>
      <w:r>
        <w:rPr>
          <w:rFonts w:hint="eastAsia" w:ascii="Microsoft YaHei UI" w:hAnsi="Microsoft YaHei UI" w:eastAsia="Microsoft YaHei UI" w:cs="Microsoft YaHei UI"/>
          <w:i w:val="0"/>
          <w:iCs w:val="0"/>
          <w:caps w:val="0"/>
          <w:color w:val="000000"/>
          <w:spacing w:val="8"/>
          <w:sz w:val="21"/>
          <w:szCs w:val="21"/>
        </w:rPr>
        <w:t xml:space="preserve"> </w:t>
      </w:r>
      <w:r>
        <w:rPr>
          <w:rFonts w:hint="eastAsia"/>
          <w:lang w:val="en-GB"/>
        </w:rPr>
        <w:t>accounting information, distortion,</w:t>
      </w:r>
      <w:r>
        <w:rPr>
          <w:lang w:val="en-GB"/>
        </w:rPr>
        <w:t xml:space="preserve"> </w:t>
      </w:r>
      <w:r>
        <w:rPr>
          <w:rFonts w:hint="eastAsia"/>
          <w:lang w:val="en-GB"/>
        </w:rPr>
        <w:t>mislead</w:t>
      </w:r>
    </w:p>
    <w:p>
      <w:pPr>
        <w:spacing w:after="160" w:line="259" w:lineRule="auto"/>
        <w:ind w:firstLine="0"/>
        <w:rPr>
          <w:rFonts w:asciiTheme="majorHAnsi" w:hAnsiTheme="majorHAnsi" w:eastAsiaTheme="majorEastAsia" w:cstheme="majorBidi"/>
          <w:b/>
          <w:szCs w:val="32"/>
          <w:lang w:val="en-GB"/>
        </w:rPr>
      </w:pPr>
      <w:r>
        <w:rPr>
          <w:lang w:val="en-GB"/>
        </w:rPr>
        <w:br w:type="page"/>
      </w:r>
    </w:p>
    <w:sdt>
      <w:sdtPr>
        <w:rPr>
          <w:rFonts w:eastAsiaTheme="minorHAnsi" w:cstheme="minorBidi"/>
          <w:szCs w:val="22"/>
        </w:rPr>
        <w:id w:val="1932697731"/>
        <w:docPartObj>
          <w:docPartGallery w:val="Table of Contents"/>
          <w:docPartUnique/>
        </w:docPartObj>
      </w:sdtPr>
      <w:sdtEndPr>
        <w:rPr>
          <w:rFonts w:eastAsiaTheme="minorHAnsi" w:cstheme="minorBidi"/>
          <w:b/>
          <w:bCs/>
          <w:szCs w:val="22"/>
        </w:rPr>
      </w:sdtEndPr>
      <w:sdtContent>
        <w:p>
          <w:pPr>
            <w:pStyle w:val="35"/>
            <w:outlineLvl w:val="9"/>
          </w:pPr>
          <w:r>
            <w:t>Table of Contents</w:t>
          </w:r>
        </w:p>
        <w:p>
          <w:pPr>
            <w:pStyle w:val="14"/>
            <w:rPr>
              <w:rFonts w:asciiTheme="minorHAnsi" w:hAnsiTheme="minorHAnsi" w:eastAsiaTheme="minorEastAsia"/>
              <w:sz w:val="22"/>
              <w:lang w:val="en-GB" w:eastAsia="en-GB"/>
            </w:rPr>
          </w:pPr>
          <w:r>
            <w:rPr>
              <w:b/>
              <w:bCs/>
            </w:rPr>
            <w:fldChar w:fldCharType="begin"/>
          </w:r>
          <w:r>
            <w:rPr>
              <w:b/>
              <w:bCs/>
            </w:rPr>
            <w:instrText xml:space="preserve"> TOC \o "1-6" \h \z \u </w:instrText>
          </w:r>
          <w:r>
            <w:rPr>
              <w:b/>
              <w:bCs/>
            </w:rPr>
            <w:fldChar w:fldCharType="separate"/>
          </w:r>
          <w:r>
            <w:fldChar w:fldCharType="begin"/>
          </w:r>
          <w:r>
            <w:instrText xml:space="preserve"> HYPERLINK \l "_Toc526501189" </w:instrText>
          </w:r>
          <w:r>
            <w:fldChar w:fldCharType="separate"/>
          </w:r>
          <w:r>
            <w:rPr>
              <w:rStyle w:val="26"/>
              <w:lang w:val="en-GB"/>
            </w:rPr>
            <w:t>Abstract</w:t>
          </w:r>
          <w:r>
            <w:tab/>
          </w:r>
          <w:r>
            <w:fldChar w:fldCharType="begin"/>
          </w:r>
          <w:r>
            <w:instrText xml:space="preserve"> PAGEREF _Toc526501189 \h </w:instrText>
          </w:r>
          <w:r>
            <w:fldChar w:fldCharType="separate"/>
          </w:r>
          <w:r>
            <w:t>2</w:t>
          </w:r>
          <w:r>
            <w:fldChar w:fldCharType="end"/>
          </w:r>
          <w:r>
            <w:fldChar w:fldCharType="end"/>
          </w:r>
        </w:p>
        <w:p>
          <w:pPr>
            <w:pStyle w:val="14"/>
            <w:rPr>
              <w:rFonts w:asciiTheme="minorHAnsi" w:hAnsiTheme="minorHAnsi" w:eastAsiaTheme="minorEastAsia"/>
              <w:sz w:val="22"/>
              <w:lang w:val="en-GB" w:eastAsia="en-GB"/>
            </w:rPr>
          </w:pPr>
          <w:r>
            <w:fldChar w:fldCharType="begin"/>
          </w:r>
          <w:r>
            <w:instrText xml:space="preserve"> HYPERLINK \l "_Toc526501192" </w:instrText>
          </w:r>
          <w:r>
            <w:fldChar w:fldCharType="separate"/>
          </w:r>
          <w:r>
            <w:rPr>
              <w:rFonts w:hint="eastAsia"/>
              <w:lang w:val="en-US" w:eastAsia="zh-CN"/>
            </w:rPr>
            <w:t>introduction</w:t>
          </w:r>
          <w:r>
            <w:tab/>
          </w:r>
          <w:r>
            <w:rPr>
              <w:rFonts w:hint="eastAsia" w:eastAsia="宋体"/>
              <w:lang w:val="en-US" w:eastAsia="zh-CN"/>
            </w:rPr>
            <w:t>2</w:t>
          </w:r>
          <w:r>
            <w:fldChar w:fldCharType="end"/>
          </w:r>
        </w:p>
        <w:p>
          <w:pPr>
            <w:pStyle w:val="19"/>
            <w:tabs>
              <w:tab w:val="right" w:leader="dot" w:pos="9350"/>
            </w:tabs>
            <w:rPr>
              <w:rFonts w:asciiTheme="minorHAnsi" w:hAnsiTheme="minorHAnsi" w:eastAsiaTheme="minorEastAsia"/>
              <w:sz w:val="22"/>
              <w:lang w:val="en-GB" w:eastAsia="en-GB"/>
            </w:rPr>
          </w:pPr>
          <w:r>
            <w:fldChar w:fldCharType="begin"/>
          </w:r>
          <w:r>
            <w:instrText xml:space="preserve"> HYPERLINK \l "_Toc526501193" </w:instrText>
          </w:r>
          <w:r>
            <w:fldChar w:fldCharType="separate"/>
          </w:r>
          <w:r>
            <w:rPr>
              <w:rFonts w:hint="eastAsia"/>
            </w:rPr>
            <w:t>Accounting fraud </w:t>
          </w:r>
          <w:r>
            <w:tab/>
          </w:r>
          <w:r>
            <w:rPr>
              <w:rFonts w:hint="eastAsia" w:eastAsia="宋体"/>
              <w:lang w:val="en-US" w:eastAsia="zh-CN"/>
            </w:rPr>
            <w:t>3</w:t>
          </w:r>
          <w:r>
            <w:fldChar w:fldCharType="end"/>
          </w:r>
        </w:p>
        <w:p>
          <w:pPr>
            <w:pStyle w:val="10"/>
            <w:tabs>
              <w:tab w:val="right" w:leader="dot" w:pos="9350"/>
            </w:tabs>
            <w:rPr>
              <w:rFonts w:asciiTheme="minorHAnsi" w:hAnsiTheme="minorHAnsi" w:eastAsiaTheme="minorEastAsia"/>
              <w:sz w:val="22"/>
              <w:lang w:val="en-GB" w:eastAsia="en-GB"/>
            </w:rPr>
          </w:pPr>
          <w:r>
            <w:fldChar w:fldCharType="begin"/>
          </w:r>
          <w:r>
            <w:instrText xml:space="preserve"> HYPERLINK \l "_Toc526501194" </w:instrText>
          </w:r>
          <w:r>
            <w:fldChar w:fldCharType="separate"/>
          </w:r>
          <w:r>
            <w:rPr>
              <w:rFonts w:hint="eastAsia"/>
              <w:lang w:val="en-GB"/>
            </w:rPr>
            <w:t>Return fictitious economic business through sales</w:t>
          </w:r>
          <w:r>
            <w:rPr>
              <w:lang w:val="en-GB"/>
            </w:rPr>
            <w:t xml:space="preserve">. </w:t>
          </w:r>
          <w:r>
            <w:rPr>
              <w:rStyle w:val="26"/>
              <w:lang w:val="en-GB"/>
            </w:rPr>
            <w:t>.</w:t>
          </w:r>
          <w:r>
            <w:tab/>
          </w:r>
          <w:r>
            <w:fldChar w:fldCharType="begin"/>
          </w:r>
          <w:r>
            <w:instrText xml:space="preserve"> PAGEREF _Toc526501194 \h </w:instrText>
          </w:r>
          <w:r>
            <w:fldChar w:fldCharType="separate"/>
          </w:r>
          <w:r>
            <w:t>4</w:t>
          </w:r>
          <w:r>
            <w:fldChar w:fldCharType="end"/>
          </w:r>
          <w:r>
            <w:fldChar w:fldCharType="end"/>
          </w:r>
        </w:p>
        <w:p>
          <w:pPr>
            <w:pStyle w:val="15"/>
            <w:rPr>
              <w:rFonts w:asciiTheme="minorHAnsi" w:hAnsiTheme="minorHAnsi" w:eastAsiaTheme="minorEastAsia"/>
              <w:sz w:val="22"/>
              <w:lang w:val="en-GB" w:eastAsia="en-GB"/>
            </w:rPr>
          </w:pPr>
          <w:r>
            <w:fldChar w:fldCharType="begin"/>
          </w:r>
          <w:r>
            <w:instrText xml:space="preserve"> HYPERLINK \l "_Toc526501195" </w:instrText>
          </w:r>
          <w:r>
            <w:fldChar w:fldCharType="separate"/>
          </w:r>
          <w:bookmarkStart w:id="11" w:name="_GoBack"/>
          <w:r>
            <w:rPr>
              <w:rFonts w:hint="eastAsia" w:ascii="Times New Roman" w:hAnsi="Times New Roman" w:eastAsiaTheme="minorHAnsi" w:cstheme="minorBidi"/>
              <w:sz w:val="24"/>
              <w:szCs w:val="22"/>
              <w:lang w:val="en-GB" w:eastAsia="en-US" w:bidi="ar-SA"/>
            </w:rPr>
            <w:t>Local protectionism condones counterfeiting.</w:t>
          </w:r>
          <w:bookmarkEnd w:id="11"/>
          <w:r>
            <w:tab/>
          </w:r>
          <w:r>
            <w:fldChar w:fldCharType="begin"/>
          </w:r>
          <w:r>
            <w:instrText xml:space="preserve"> PAGEREF _Toc526501195 \h </w:instrText>
          </w:r>
          <w:r>
            <w:fldChar w:fldCharType="separate"/>
          </w:r>
          <w:r>
            <w:t>6</w:t>
          </w:r>
          <w:r>
            <w:fldChar w:fldCharType="end"/>
          </w:r>
          <w:r>
            <w:fldChar w:fldCharType="end"/>
          </w:r>
        </w:p>
        <w:p>
          <w:pPr>
            <w:pStyle w:val="14"/>
            <w:rPr>
              <w:rFonts w:asciiTheme="minorHAnsi" w:hAnsiTheme="minorHAnsi" w:eastAsiaTheme="minorEastAsia"/>
              <w:sz w:val="22"/>
              <w:lang w:val="en-GB" w:eastAsia="en-GB"/>
            </w:rPr>
          </w:pPr>
          <w:r>
            <w:fldChar w:fldCharType="begin"/>
          </w:r>
          <w:r>
            <w:instrText xml:space="preserve"> HYPERLINK \l "_Toc526501197" </w:instrText>
          </w:r>
          <w:r>
            <w:fldChar w:fldCharType="separate"/>
          </w:r>
          <w:r>
            <w:rPr>
              <w:rStyle w:val="26"/>
              <w:lang w:val="en-GB"/>
            </w:rPr>
            <w:t>Reference list</w:t>
          </w:r>
          <w:r>
            <w:tab/>
          </w:r>
          <w:r>
            <w:rPr>
              <w:rFonts w:hint="eastAsia" w:eastAsia="宋体"/>
              <w:lang w:val="en-US" w:eastAsia="zh-CN"/>
            </w:rPr>
            <w:t>8</w:t>
          </w:r>
          <w:r>
            <w:fldChar w:fldCharType="end"/>
          </w:r>
        </w:p>
        <w:p>
          <w:pPr>
            <w:pStyle w:val="14"/>
            <w:rPr>
              <w:rFonts w:asciiTheme="minorHAnsi" w:hAnsiTheme="minorHAnsi" w:eastAsiaTheme="minorEastAsia"/>
              <w:sz w:val="22"/>
              <w:lang w:val="en-GB" w:eastAsia="en-GB"/>
            </w:rPr>
          </w:pPr>
          <w:r>
            <w:fldChar w:fldCharType="begin"/>
          </w:r>
          <w:r>
            <w:instrText xml:space="preserve"> HYPERLINK \l "_Toc526501198" </w:instrText>
          </w:r>
          <w:r>
            <w:fldChar w:fldCharType="separate"/>
          </w:r>
          <w:r>
            <w:rPr>
              <w:rStyle w:val="26"/>
              <w:lang w:val="en-GB"/>
            </w:rPr>
            <w:t>Appendix A</w:t>
          </w:r>
          <w:r>
            <w:tab/>
          </w:r>
          <w:r>
            <w:fldChar w:fldCharType="begin"/>
          </w:r>
          <w:r>
            <w:instrText xml:space="preserve"> PAGEREF _Toc526501198 \h </w:instrText>
          </w:r>
          <w:r>
            <w:fldChar w:fldCharType="separate"/>
          </w:r>
          <w:r>
            <w:t>12</w:t>
          </w:r>
          <w:r>
            <w:fldChar w:fldCharType="end"/>
          </w:r>
          <w:r>
            <w:fldChar w:fldCharType="end"/>
          </w:r>
        </w:p>
        <w:p>
          <w:pPr>
            <w:pStyle w:val="14"/>
            <w:spacing w:after="0"/>
            <w:rPr>
              <w:rFonts w:asciiTheme="minorHAnsi" w:hAnsiTheme="minorHAnsi" w:eastAsiaTheme="minorEastAsia"/>
              <w:sz w:val="22"/>
              <w:lang w:val="en-GB" w:eastAsia="en-GB"/>
            </w:rPr>
          </w:pPr>
          <w:r>
            <w:fldChar w:fldCharType="begin"/>
          </w:r>
          <w:r>
            <w:instrText xml:space="preserve"> HYPERLINK \l "_Toc526501199" </w:instrText>
          </w:r>
          <w:r>
            <w:fldChar w:fldCharType="separate"/>
          </w:r>
          <w:r>
            <w:rPr>
              <w:rStyle w:val="26"/>
              <w:lang w:val="en-GB"/>
            </w:rPr>
            <w:t>Appendix B</w:t>
          </w:r>
          <w:r>
            <w:tab/>
          </w:r>
          <w:r>
            <w:fldChar w:fldCharType="begin"/>
          </w:r>
          <w:r>
            <w:instrText xml:space="preserve"> PAGEREF _Toc526501199 \h </w:instrText>
          </w:r>
          <w:r>
            <w:fldChar w:fldCharType="separate"/>
          </w:r>
          <w:r>
            <w:t>14</w:t>
          </w:r>
          <w:r>
            <w:fldChar w:fldCharType="end"/>
          </w:r>
          <w:r>
            <w:fldChar w:fldCharType="end"/>
          </w:r>
        </w:p>
        <w:p>
          <w:pPr>
            <w:ind w:firstLine="0"/>
          </w:pPr>
          <w:r>
            <w:rPr>
              <w:b/>
              <w:bCs/>
            </w:rPr>
            <w:fldChar w:fldCharType="end"/>
          </w:r>
        </w:p>
      </w:sdtContent>
    </w:sdt>
    <w:p>
      <w:pPr>
        <w:pStyle w:val="2"/>
        <w:rPr>
          <w:rFonts w:hint="default" w:eastAsiaTheme="majorEastAsia"/>
          <w:lang w:val="en-US" w:eastAsia="zh-CN"/>
        </w:rPr>
      </w:pPr>
      <w:r>
        <w:rPr>
          <w:rFonts w:hint="eastAsia"/>
          <w:lang w:val="en-US" w:eastAsia="zh-CN"/>
        </w:rPr>
        <w:t>introduction</w:t>
      </w:r>
    </w:p>
    <w:p>
      <w:pPr>
        <w:rPr>
          <w:rFonts w:hint="eastAsia"/>
          <w:lang w:val="en-US" w:eastAsia="zh-CN"/>
        </w:rPr>
      </w:pPr>
      <w:r>
        <w:rPr>
          <w:lang w:val="en-GB"/>
        </w:rPr>
        <w:t>This research aims to gain insight into the</w:t>
      </w:r>
      <w:r>
        <w:rPr>
          <w:rFonts w:hint="eastAsia"/>
          <w:lang w:val="en-US" w:eastAsia="zh-CN"/>
        </w:rPr>
        <w:t xml:space="preserve"> auditing information</w:t>
      </w:r>
      <w:r>
        <w:rPr>
          <w:lang w:val="en-GB"/>
        </w:rPr>
        <w:t xml:space="preserve"> </w:t>
      </w:r>
      <w:r>
        <w:rPr>
          <w:rFonts w:hint="eastAsia"/>
          <w:lang w:val="en-US" w:eastAsia="zh-CN"/>
        </w:rPr>
        <w:t xml:space="preserve">about </w:t>
      </w:r>
      <w:r>
        <w:rPr>
          <w:rFonts w:hint="eastAsia"/>
          <w:lang w:val="en-GB" w:eastAsia="en-US"/>
        </w:rPr>
        <w:t>Green Land Joint Stock Company</w:t>
      </w:r>
      <w:r>
        <w:rPr>
          <w:rFonts w:hint="eastAsia"/>
          <w:lang w:val="en-US" w:eastAsia="zh-CN"/>
        </w:rPr>
        <w:t>.</w:t>
      </w:r>
      <w:r>
        <w:rPr>
          <w:lang w:val="en-GB"/>
        </w:rPr>
        <w:t>This chapter further discusses the research method, the sampling method and the  procedure. Briefly describe the case and identify basis and situations supporting the audit opinion</w:t>
      </w:r>
      <w:r>
        <w:rPr>
          <w:rFonts w:hint="eastAsia"/>
          <w:lang w:val="en-US" w:eastAsia="zh-CN"/>
        </w:rPr>
        <w:t>.</w:t>
      </w:r>
    </w:p>
    <w:p>
      <w:pPr>
        <w:rPr>
          <w:rFonts w:hint="eastAsia"/>
          <w:lang w:val="en-GB"/>
        </w:rPr>
      </w:pPr>
      <w:r>
        <w:rPr>
          <w:rFonts w:hint="eastAsia"/>
          <w:lang w:val="en-GB"/>
        </w:rPr>
        <w:t>Based on the detailed study of the Green Land Joint Stock Company incident, this paper reflects on the problem of distortion of accounting information, in order to provide reference for the practical community. The securities market has played a positive role in raising funds, optimizing the allocation of resources, adjusting the economic structure, and promoting economic development. However, because China's securities market is still in its infancy, the legal system is not sound enough, as well as the lack of integrity of some enterprise operators and certain defects in the company's internal control, the quality of accounting information of listed companies in China cannot be guaranteed, and the phenomenon of distortion of accounting information is serious. In China's securities market, there were fraud cases of listed companies such as Yin Guangxia and Qiong Minyuan, and now the listed companies have broken out financial fraud scandals. Green Land was registered in the Yunnan Provincial Administration for Industry and Commerce on March 28, 2001 with a registered capital of 31.96 million yuan, mainly engaged in the design and construction of greening projects, planting and sales of green seedlings. In March 2010, due to the investigation of green land suspected of information disclosure violations, it was found that the company was suspected of inflating assets, inflating profits, inflating income and other violations of laws and regulations. The vicious financial fraud case of the listed company Green Land not only misleads the managers, investors and creditors to make reasonable judgments and decisions, but also causes great harm to the rational allocation of resources and the healthy development of the securities market. </w:t>
      </w:r>
    </w:p>
    <w:p>
      <w:pPr>
        <w:rPr>
          <w:rFonts w:hint="eastAsia" w:eastAsia="宋体"/>
          <w:lang w:val="en-US" w:eastAsia="zh-CN"/>
        </w:rPr>
      </w:pPr>
    </w:p>
    <w:p>
      <w:pPr>
        <w:pStyle w:val="3"/>
        <w:rPr>
          <w:lang w:val="en-GB"/>
        </w:rPr>
      </w:pPr>
      <w:r>
        <w:rPr>
          <w:rFonts w:hint="eastAsia" w:ascii="Microsoft YaHei UI" w:hAnsi="Microsoft YaHei UI" w:eastAsia="Microsoft YaHei UI" w:cs="Microsoft YaHei UI"/>
          <w:i w:val="0"/>
          <w:iCs w:val="0"/>
          <w:caps w:val="0"/>
          <w:color w:val="000000"/>
          <w:spacing w:val="8"/>
          <w:sz w:val="21"/>
          <w:szCs w:val="21"/>
        </w:rPr>
        <w:t>Accounting fraud </w:t>
      </w:r>
    </w:p>
    <w:p>
      <w:pPr>
        <w:rPr>
          <w:rFonts w:hint="eastAsia"/>
          <w:lang w:val="en-GB" w:eastAsia="en-US"/>
        </w:rPr>
      </w:pPr>
      <w:bookmarkStart w:id="2" w:name="_Toc526501194"/>
      <w:r>
        <w:rPr>
          <w:rFonts w:hint="eastAsia"/>
          <w:lang w:val="en-GB" w:eastAsia="en-US"/>
        </w:rPr>
        <w:t>Green Land mainly uses forged contracts, forged documents and sales returns to fictitious economic business to achieve the purpose of inflating profits and revenues. </w:t>
      </w:r>
    </w:p>
    <w:p>
      <w:pPr>
        <w:rPr>
          <w:rFonts w:hint="eastAsia"/>
          <w:lang w:val="en-GB" w:eastAsia="en-US"/>
        </w:rPr>
      </w:pPr>
      <w:r>
        <w:rPr>
          <w:rFonts w:hint="eastAsia"/>
          <w:lang w:val="en-GB" w:eastAsia="en-US"/>
        </w:rPr>
        <w:t>1. Forge contracts and fictitious transactions </w:t>
      </w:r>
    </w:p>
    <w:p>
      <w:pPr>
        <w:rPr>
          <w:rFonts w:hint="eastAsia"/>
          <w:lang w:val="en-GB" w:eastAsia="en-US"/>
        </w:rPr>
      </w:pPr>
      <w:r>
        <w:rPr>
          <w:rFonts w:hint="eastAsia"/>
          <w:lang w:val="en-GB" w:eastAsia="en-US"/>
        </w:rPr>
        <w:t>First of all, Green Land Company registered a number of affiliated companies that were actually controlled or controlled by them, and the significance of these companies was that they had various official seals, and having these official seals could produce various contracts and invoices. He Xuekui, who comes from a financial background, is even more familiar with this. With these official seals, Green Land then uses relevant bank accounts to manipulate the flow of funds, fictitious trading businesses by forging contracts, and inflating revenues and profits. The company's main business is seedlings, Green Land through forged contracts fictitious seedling transactions between controlled companies, funds turnover between the various controlled companies, and finally returned to Green Land, between the in and out of the false increase in operating income of 296 million yuan. </w:t>
      </w:r>
    </w:p>
    <w:p>
      <w:pPr>
        <w:rPr>
          <w:rFonts w:hint="eastAsia"/>
          <w:lang w:val="en-GB" w:eastAsia="en-US"/>
        </w:rPr>
      </w:pPr>
      <w:r>
        <w:rPr>
          <w:rFonts w:hint="eastAsia"/>
          <w:lang w:val="en-GB" w:eastAsia="en-US"/>
        </w:rPr>
        <w:t>2. Forge bank documents and fabricate bank transactions </w:t>
      </w:r>
    </w:p>
    <w:p>
      <w:pPr>
        <w:rPr>
          <w:rFonts w:hint="eastAsia"/>
          <w:lang w:val="en-GB"/>
        </w:rPr>
      </w:pPr>
      <w:r>
        <w:rPr>
          <w:rFonts w:hint="eastAsia"/>
          <w:lang w:val="en-GB" w:eastAsia="en-US"/>
        </w:rPr>
        <w:t>In 2004, Greenland purchased and paid tens of millions of yuan to five suppliers. However, in the accounting documents provided by it, only the cheque stub is attached to the cheque payment by cheque, there is no bank transfer receipt, and half of the cheque stubs are filled in with the actual destination of the bank's funds. The purpose is to inflate sales revenue and profits by means of false purchases to divert funds back through the five affiliated companies it controls.</w:t>
      </w:r>
      <w:r>
        <w:rPr>
          <w:rFonts w:hint="eastAsia"/>
          <w:lang w:val="en-GB"/>
        </w:rPr>
        <w:t> </w:t>
      </w:r>
    </w:p>
    <w:p>
      <w:pPr>
        <w:pStyle w:val="5"/>
        <w:ind w:left="0" w:leftChars="0" w:firstLine="0" w:firstLineChars="0"/>
        <w:rPr>
          <w:rFonts w:hint="eastAsia" w:ascii="Times New Roman" w:hAnsi="Times New Roman" w:eastAsiaTheme="minorHAnsi" w:cstheme="minorBidi"/>
          <w:b w:val="0"/>
          <w:i w:val="0"/>
          <w:iCs w:val="0"/>
          <w:sz w:val="24"/>
          <w:szCs w:val="22"/>
          <w:lang w:val="en-GB" w:eastAsia="en-US" w:bidi="ar-SA"/>
        </w:rPr>
      </w:pPr>
      <w:r>
        <w:rPr>
          <w:rFonts w:hint="eastAsia"/>
          <w:lang w:val="en-GB"/>
        </w:rPr>
        <w:t xml:space="preserve"> Return fictitious economic business through sales</w:t>
      </w:r>
      <w:r>
        <w:rPr>
          <w:lang w:val="en-GB"/>
        </w:rPr>
        <w:t>.</w:t>
      </w:r>
      <w:bookmarkEnd w:id="2"/>
      <w:r>
        <w:rPr>
          <w:lang w:val="en-GB"/>
        </w:rPr>
        <w:t xml:space="preserve"> </w:t>
      </w:r>
      <w:bookmarkStart w:id="3" w:name="_Toc526501195"/>
      <w:r>
        <w:rPr>
          <w:rFonts w:hint="eastAsia" w:ascii="Times New Roman" w:hAnsi="Times New Roman" w:eastAsiaTheme="minorHAnsi" w:cstheme="minorBidi"/>
          <w:b w:val="0"/>
          <w:i w:val="0"/>
          <w:iCs w:val="0"/>
          <w:kern w:val="0"/>
          <w:sz w:val="24"/>
          <w:szCs w:val="22"/>
          <w:lang w:val="en-GB" w:eastAsia="en-US" w:bidi="ar-SA"/>
        </w:rPr>
        <w:t>A</w:t>
      </w:r>
      <w:r>
        <w:rPr>
          <w:rFonts w:hint="eastAsia" w:ascii="Times New Roman" w:hAnsi="Times New Roman" w:eastAsiaTheme="minorHAnsi" w:cstheme="minorBidi"/>
          <w:b w:val="0"/>
          <w:i w:val="0"/>
          <w:iCs w:val="0"/>
          <w:sz w:val="24"/>
          <w:szCs w:val="22"/>
          <w:lang w:val="en-GB" w:eastAsia="en-US" w:bidi="ar-SA"/>
        </w:rPr>
        <w:t>fter the successful listing of Green Land, large customers have successively returned the seedlings they purchased, and these sales contracts are signed before listing, and the operating income and net profit are reflected in the pre-listing financial statements. Therefore, China Audit Asia Pacific Accounting Firm issued a qualified opinion on the return of sales in 2008 and 2009. In 2010, Green</w:t>
      </w:r>
      <w:r>
        <w:rPr>
          <w:rFonts w:hint="eastAsia" w:ascii="Times New Roman" w:hAnsi="Times New Roman" w:eastAsiaTheme="minorHAnsi" w:cstheme="minorBidi"/>
          <w:b w:val="0"/>
          <w:i w:val="0"/>
          <w:iCs w:val="0"/>
          <w:kern w:val="0"/>
          <w:sz w:val="24"/>
          <w:szCs w:val="22"/>
          <w:lang w:val="en-GB" w:eastAsia="en-US" w:bidi="ar-SA"/>
        </w:rPr>
        <w:t xml:space="preserve"> Land admitted in an investigation by regulators that the sales of seedlings in 2008 returned 23.48 million yuan, and thus retroactively reduced the operating income and 11.53 million yuan of net profit in 2008; In 2009, the sales refund amount of seedlings was as high as 158 million yuan. It can be seen that GreenLand inflates its income through fictitious economic businesses. In addition, Green Land also inflated its assets by purchasing land, and overestimated the inventory by means of "60 saplings into 300 pieces", colluded with intermediaries, and concealed corporate problems, so that Green Land was successfully listed through financial fraud. Third, the cause of distortion of accounting information 1. Lack of integrity For companies and major shareholders, there is a world of difference between listing and not listing. Once the listing is successful, not only can a large amount of capital be raised through the issuance of shares at a high price, but also the controlling shareholders and major shareholders can also achieve the expansion of personal capital. Green land financial fraud is done by professionals, it can be said that there is a high level of knowledge literacy, but in the face of huge economic interests, integrity is not kept, knowledge has becom</w:t>
      </w:r>
      <w:r>
        <w:rPr>
          <w:rFonts w:hint="eastAsia" w:ascii="Times New Roman" w:hAnsi="Times New Roman" w:eastAsiaTheme="minorHAnsi" w:cstheme="minorBidi"/>
          <w:b w:val="0"/>
          <w:i w:val="0"/>
          <w:iCs w:val="0"/>
          <w:sz w:val="24"/>
          <w:szCs w:val="22"/>
          <w:lang w:val="en-GB" w:eastAsia="en-US" w:bidi="ar-SA"/>
        </w:rPr>
        <w:t>e an accomplice to crime, coupled with the low cost of violations and punishment of listed companies, prompting them to take risks, for their own selfish interests to the majority of shareholders and society caused serious losses. 2. Internal governance institutions are chaotic In principle, the shareholders' meeting, the board of directors, the board of supervisors and the managers should perform their functions of authority, decision-making, supervision and the management functions of implementing the decision-making of the board of directors respectively, and form a governance body with clear powers and responsibilities, coordinated operation and effective containment. However, there are serious flaws in the corporate governance structure of Green Land: the number of board members is not enough, and more than half of the directors have resigned and cannot make decisions; The members of the Supervisory Board are frequently transferred, and the changes in the positions of the members involve almost all kinds of positions; Before 2009, Green Land Company has not realized the separation of the chairman and general manager positions, and supervises itself, and its supervision effect can be imagined; Since April 2010, the secretary of the board of directors has been the chairman of the board, so that the chairman has an absolute dominant position in the board of directors and his rights cannot be effectively checked and balanced. In addition, the members of the board of directors and the financial director should not be appointed by one person, but Wang Yueguang, who is also a director, executive vice president and financial director of the company, has broken the checks and balances of the corporate governance mechanism, and it is impossible to effectively supervise and manage the illegal acts of the management; The responsibility of independent directors is to supervise and manage the daily behavior of the management and prevent the company from harming the interests of investors, but independent director Zheng Guangya assumed the position of chairman of the board and acted as the secretary of the board of directors, and the result was that the independent directors could not make independent and objective judgments. All of this violates the design principles of corporate governance mechanisms.</w:t>
      </w:r>
    </w:p>
    <w:p>
      <w:pPr>
        <w:rPr>
          <w:rFonts w:hint="eastAsia" w:ascii="Times New Roman" w:hAnsi="Times New Roman" w:eastAsiaTheme="minorHAnsi" w:cstheme="minorBidi"/>
          <w:b w:val="0"/>
          <w:i w:val="0"/>
          <w:iCs w:val="0"/>
          <w:sz w:val="24"/>
          <w:szCs w:val="22"/>
          <w:lang w:val="en-GB" w:eastAsia="en-US" w:bidi="ar-SA"/>
        </w:rPr>
      </w:pPr>
      <w:r>
        <w:rPr>
          <w:rFonts w:hint="eastAsia" w:asciiTheme="majorHAnsi" w:hAnsiTheme="majorHAnsi" w:eastAsiaTheme="majorEastAsia" w:cstheme="majorBidi"/>
          <w:b/>
          <w:i/>
          <w:iCs/>
          <w:sz w:val="24"/>
          <w:szCs w:val="22"/>
          <w:lang w:val="en-GB" w:eastAsia="en-US" w:bidi="ar-SA"/>
        </w:rPr>
        <w:t xml:space="preserve">Local protectionism condones counterfeiting . </w:t>
      </w:r>
      <w:r>
        <w:rPr>
          <w:rFonts w:hint="eastAsia" w:ascii="Times New Roman" w:hAnsi="Times New Roman" w:eastAsiaTheme="minorHAnsi" w:cstheme="minorBidi"/>
          <w:b w:val="0"/>
          <w:i w:val="0"/>
          <w:iCs w:val="0"/>
          <w:sz w:val="24"/>
          <w:szCs w:val="22"/>
          <w:lang w:val="en-GB" w:eastAsia="en-US" w:bidi="ar-SA"/>
        </w:rPr>
        <w:t>The general manager of Green Land is Wang Guangzhong, who has a political background, and the author has to question whether the company intends to use people with political backgrounds to facilitate its financing when it encounters a capital bottleneck. Especially in 2009, due to the huge gap of 550 million yuan in the construction project of the green seedling production base in Green Land, facing severe financing pressure, Wang Guangzhong, former director of the Kunming Municipal Bureau of Commerce, became a good choice as general manager.</w:t>
      </w:r>
    </w:p>
    <w:p>
      <w:pPr>
        <w:rPr>
          <w:rFonts w:hint="eastAsia" w:ascii="Times New Roman" w:hAnsi="Times New Roman" w:eastAsiaTheme="minorHAnsi" w:cstheme="minorBidi"/>
          <w:b w:val="0"/>
          <w:i w:val="0"/>
          <w:iCs w:val="0"/>
          <w:sz w:val="24"/>
          <w:szCs w:val="22"/>
          <w:lang w:val="en-GB" w:eastAsia="en-US" w:bidi="ar-SA"/>
        </w:rPr>
      </w:pPr>
      <w:r>
        <w:rPr>
          <w:rFonts w:hint="eastAsia" w:ascii="Times New Roman" w:hAnsi="Times New Roman" w:eastAsiaTheme="minorHAnsi" w:cstheme="minorBidi"/>
          <w:b w:val="0"/>
          <w:i w:val="0"/>
          <w:iCs w:val="0"/>
          <w:sz w:val="24"/>
          <w:szCs w:val="22"/>
          <w:lang w:val="en-GB" w:eastAsia="en-US" w:bidi="ar-SA"/>
        </w:rPr>
        <w:t>After the CSRC's investigation of the Green Land case, in order to protect and support the development of local enterprises, the vice governor of Yunnan Province, who was in charge of this work, went to Beijing twice, and the deputy secretary-general of the province went to Beijing at least 10 times to mediate between them. In securities crimes, the listed companies generally involved are star enterprises, large employment households, and large profit and tax households in the local area, and the executives of the enterprises involved are all "economic talents", so the local government often instructs the local judicial organs to turn away the administrative law enforcement organs in other places. Even acquiescence in corporate collusion with accounting firms, securities companies to join forces to produce false statements. Local protectionism has allowed securities crimes to occur, and while it can stabilize the region's economic development in the short term, in the long run, it will breed more irregular operations and destroy the soil for the growth and development of local enterprises, harming the interests of hundreds of millions of investors. 4. Revelation The Green Land accounting information distortion case has brought serious negative impacts to society, but it can be seen from it that there are many problems in China's supervision of accounting information of listed companies:</w:t>
      </w:r>
    </w:p>
    <w:p>
      <w:pPr>
        <w:rPr>
          <w:rFonts w:hint="eastAsia" w:ascii="Times New Roman" w:hAnsi="Times New Roman" w:eastAsiaTheme="minorHAnsi" w:cstheme="minorBidi"/>
          <w:b w:val="0"/>
          <w:i w:val="0"/>
          <w:iCs w:val="0"/>
          <w:sz w:val="24"/>
          <w:szCs w:val="22"/>
          <w:lang w:val="en-GB" w:eastAsia="en-US" w:bidi="ar-SA"/>
        </w:rPr>
      </w:pPr>
      <w:r>
        <w:rPr>
          <w:rFonts w:hint="eastAsia" w:ascii="Times New Roman" w:hAnsi="Times New Roman" w:eastAsiaTheme="minorHAnsi" w:cstheme="minorBidi"/>
          <w:b w:val="0"/>
          <w:i w:val="0"/>
          <w:iCs w:val="0"/>
          <w:sz w:val="24"/>
          <w:szCs w:val="22"/>
          <w:lang w:val="en-GB" w:eastAsia="en-US" w:bidi="ar-SA"/>
        </w:rPr>
        <w:t>(1) The means of distortion of accounting information of listed companies in China are mainly manifested in manipulating profits, such as fictitious performance, transfer of profits through related parties, forged contracts and fictitious economic businesses.</w:t>
      </w:r>
    </w:p>
    <w:p>
      <w:pPr>
        <w:rPr>
          <w:rFonts w:hint="eastAsia" w:ascii="Times New Roman" w:hAnsi="Times New Roman" w:eastAsiaTheme="minorHAnsi" w:cstheme="minorBidi"/>
          <w:b w:val="0"/>
          <w:i w:val="0"/>
          <w:iCs w:val="0"/>
          <w:sz w:val="24"/>
          <w:szCs w:val="22"/>
          <w:lang w:val="en-GB" w:eastAsia="en-US" w:bidi="ar-SA"/>
        </w:rPr>
      </w:pPr>
      <w:r>
        <w:rPr>
          <w:rFonts w:hint="eastAsia" w:ascii="Times New Roman" w:hAnsi="Times New Roman" w:eastAsiaTheme="minorHAnsi" w:cstheme="minorBidi"/>
          <w:b w:val="0"/>
          <w:i w:val="0"/>
          <w:iCs w:val="0"/>
          <w:sz w:val="24"/>
          <w:szCs w:val="22"/>
          <w:lang w:val="en-GB" w:eastAsia="en-US" w:bidi="ar-SA"/>
        </w:rPr>
        <w:t>(2) The internal governance structure is chaotic, the human resources system is not perfect, the integrity is lacking, the intermediary agency dereliction of duty, the local protectionism, etc. are important reasons for the distortion of the accounting information of listed companies. </w:t>
      </w:r>
    </w:p>
    <w:p>
      <w:pPr>
        <w:rPr>
          <w:rFonts w:hint="eastAsia" w:ascii="Times New Roman" w:hAnsi="Times New Roman" w:eastAsiaTheme="minorHAnsi" w:cstheme="minorBidi"/>
          <w:b w:val="0"/>
          <w:i w:val="0"/>
          <w:iCs w:val="0"/>
          <w:sz w:val="24"/>
          <w:szCs w:val="22"/>
          <w:lang w:val="en-GB" w:eastAsia="en-US" w:bidi="ar-SA"/>
        </w:rPr>
      </w:pPr>
      <w:r>
        <w:rPr>
          <w:rFonts w:hint="eastAsia" w:ascii="Times New Roman" w:hAnsi="Times New Roman" w:eastAsiaTheme="minorHAnsi" w:cstheme="minorBidi"/>
          <w:b w:val="0"/>
          <w:i w:val="0"/>
          <w:iCs w:val="0"/>
          <w:sz w:val="24"/>
          <w:szCs w:val="22"/>
          <w:lang w:val="en-GB" w:eastAsia="en-US" w:bidi="ar-SA"/>
        </w:rPr>
        <w:t>In view of these problems, we should take some relevant measures to improve the quality of accounting information of listed companies in China and promote the healthy development of listed companies in China: improving the internal governance structure of listed companies, human resource management system and sponsor assessment system are basic measures; Give small and medium-sized shareholders more rights, establish a fair interest game platform and investor protection mechanism; Establish a database of creditworthiness archives of listed companies and mechanisms for punishing untrustworthiness; Strengthen the establishment of a culture of creditworthiness in enterprises, and so forth. Any theory needs to be perfected in continuous practical exploration, and the management of accounting information distortion of listed companies is not overnight, and we still have a long way to go. </w:t>
      </w:r>
    </w:p>
    <w:p>
      <w:pPr>
        <w:pStyle w:val="5"/>
        <w:rPr>
          <w:rFonts w:hint="eastAsia" w:ascii="Times New Roman" w:hAnsi="Times New Roman" w:eastAsiaTheme="minorHAnsi" w:cstheme="minorBidi"/>
          <w:b w:val="0"/>
          <w:i w:val="0"/>
          <w:iCs w:val="0"/>
          <w:sz w:val="24"/>
          <w:szCs w:val="22"/>
          <w:lang w:val="en-GB" w:eastAsia="en-US" w:bidi="ar-SA"/>
        </w:rPr>
      </w:pP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Times New Roman" w:hAnsi="Times New Roman" w:eastAsiaTheme="minorHAnsi" w:cstheme="minorBidi"/>
          <w:b w:val="0"/>
          <w:i w:val="0"/>
          <w:iCs w:val="0"/>
          <w:sz w:val="24"/>
          <w:szCs w:val="22"/>
          <w:lang w:val="en-GB" w:eastAsia="en-US" w:bidi="ar-SA"/>
        </w:rPr>
      </w:pPr>
    </w:p>
    <w:bookmarkEnd w:id="3"/>
    <w:p>
      <w:pPr>
        <w:rPr>
          <w:rFonts w:hint="eastAsia" w:ascii="Times New Roman" w:hAnsi="Times New Roman" w:eastAsiaTheme="minorHAnsi" w:cstheme="minorBidi"/>
          <w:b w:val="0"/>
          <w:i w:val="0"/>
          <w:iCs w:val="0"/>
          <w:sz w:val="24"/>
          <w:szCs w:val="22"/>
          <w:lang w:val="en-GB" w:eastAsia="en-US" w:bidi="ar-SA"/>
        </w:rPr>
      </w:pPr>
    </w:p>
    <w:p>
      <w:pPr>
        <w:spacing w:after="160" w:line="259" w:lineRule="auto"/>
        <w:ind w:firstLine="0"/>
        <w:rPr>
          <w:lang w:val="en-GB"/>
        </w:rPr>
      </w:pPr>
      <w:r>
        <w:rPr>
          <w:lang w:val="en-GB"/>
        </w:rPr>
        <w:br w:type="page"/>
      </w:r>
    </w:p>
    <w:p>
      <w:pPr>
        <w:keepNext/>
        <w:spacing w:after="160" w:line="259" w:lineRule="auto"/>
        <w:ind w:firstLine="0"/>
      </w:pPr>
    </w:p>
    <w:p>
      <w:pPr>
        <w:spacing w:after="160" w:line="259" w:lineRule="auto"/>
        <w:ind w:firstLine="0"/>
      </w:pPr>
      <w:r>
        <w:br w:type="page"/>
      </w:r>
    </w:p>
    <w:p>
      <w:pPr>
        <w:pStyle w:val="2"/>
        <w:rPr>
          <w:b w:val="0"/>
          <w:lang w:val="en-GB"/>
        </w:rPr>
      </w:pPr>
      <w:r>
        <w:rPr>
          <w:b w:val="0"/>
          <w:lang w:val="en-GB"/>
        </w:rPr>
        <w:t>References</w:t>
      </w:r>
    </w:p>
    <w:p>
      <w:pPr>
        <w:pStyle w:val="41"/>
        <w:ind w:left="720" w:leftChars="300" w:firstLine="12" w:firstLineChars="5"/>
        <w:jc w:val="both"/>
        <w:rPr>
          <w:lang w:val="en-GB"/>
        </w:rPr>
      </w:pPr>
      <w:r>
        <w:rPr>
          <w:rFonts w:hint="eastAsia"/>
          <w:lang w:val="en-GB"/>
        </w:rPr>
        <w:t>Hernan Murdock</w:t>
      </w:r>
      <w:r>
        <w:rPr>
          <w:rFonts w:hint="eastAsia" w:eastAsia="宋体"/>
          <w:lang w:val="en-US" w:eastAsia="zh-CN"/>
        </w:rPr>
        <w:t>.</w:t>
      </w:r>
      <w:r>
        <w:rPr>
          <w:lang w:val="en-GB"/>
        </w:rPr>
        <w:t xml:space="preserve"> </w:t>
      </w:r>
      <w:r>
        <w:rPr>
          <w:lang w:val="en-GB"/>
        </w:rPr>
        <w:fldChar w:fldCharType="begin"/>
      </w:r>
      <w:r>
        <w:rPr>
          <w:lang w:val="en-GB"/>
        </w:rPr>
        <w:instrText xml:space="preserve"> HYPERLINK "https://kns.cnki.net/kns8/Detail/RedirectScholar?flag=TitleLink&amp;tablename=GARBLAST&amp;filename=SBRCA3C89EE3A8A86EADD0B148410ABD488C" \t "https://kns.cnki.net/kns8/defaultresult/_blank" </w:instrText>
      </w:r>
      <w:r>
        <w:rPr>
          <w:lang w:val="en-GB"/>
        </w:rPr>
        <w:fldChar w:fldCharType="separate"/>
      </w:r>
      <w:r>
        <w:rPr>
          <w:rFonts w:hint="eastAsia"/>
          <w:lang w:val="en-GB"/>
        </w:rPr>
        <w:t>Operational Auditing:Principles and Techniques for a Changing World</w:t>
      </w:r>
      <w:r>
        <w:rPr>
          <w:rFonts w:hint="eastAsia"/>
          <w:lang w:val="en-GB"/>
        </w:rPr>
        <w:fldChar w:fldCharType="end"/>
      </w:r>
      <w:r>
        <w:rPr>
          <w:lang w:val="en-GB"/>
        </w:rPr>
        <w:t xml:space="preserve">. Internal Audit and IT Audit,  </w:t>
      </w:r>
      <w:r>
        <w:rPr>
          <w:rFonts w:hint="eastAsia" w:eastAsia="宋体"/>
          <w:lang w:val="en-US" w:eastAsia="zh-CN"/>
        </w:rPr>
        <w:t>21</w:t>
      </w:r>
      <w:r>
        <w:rPr>
          <w:lang w:val="en-GB"/>
        </w:rPr>
        <w:t xml:space="preserve">. </w:t>
      </w:r>
    </w:p>
    <w:p>
      <w:pPr>
        <w:pStyle w:val="41"/>
        <w:ind w:left="720" w:leftChars="300" w:firstLine="0" w:firstLineChars="0"/>
        <w:jc w:val="both"/>
      </w:pPr>
      <w:r>
        <w:rPr>
          <w:lang w:val="en-GB"/>
        </w:rPr>
        <w:t>David C Hay., &amp; ;Carolyn J Cordery, 2020-12-30</w:t>
      </w:r>
      <w:r>
        <w:t xml:space="preserve">. </w:t>
      </w:r>
      <w:r>
        <w:rPr>
          <w:rFonts w:hint="eastAsia"/>
        </w:rPr>
        <w:t>Public Sector Audit</w:t>
      </w:r>
      <w:r>
        <w:t xml:space="preserve">. Routledge Focus on Accounting and Auditing;ISSN,, </w:t>
      </w:r>
      <w:r>
        <w:rPr>
          <w:rFonts w:hint="eastAsia" w:eastAsia="宋体"/>
          <w:lang w:val="en-US" w:eastAsia="zh-CN"/>
        </w:rPr>
        <w:t>15-17</w:t>
      </w:r>
      <w:r>
        <w:t xml:space="preserve">. </w:t>
      </w:r>
    </w:p>
    <w:p>
      <w:pPr>
        <w:rPr>
          <w:lang w:val="en-GB"/>
        </w:rPr>
      </w:pPr>
      <w:r>
        <w:rPr>
          <w:lang w:val="en-GB"/>
        </w:rPr>
        <w:br w:type="page"/>
      </w:r>
    </w:p>
    <w:p>
      <w:pPr>
        <w:pStyle w:val="2"/>
        <w:rPr>
          <w:lang w:val="en-GB"/>
        </w:rPr>
      </w:pPr>
      <w:bookmarkStart w:id="4" w:name="_Toc526501198"/>
      <w:r>
        <w:rPr>
          <w:lang w:val="en-GB"/>
        </w:rPr>
        <w:t>Appendix A</w:t>
      </w:r>
      <w:bookmarkEnd w:id="4"/>
    </w:p>
    <w:p>
      <w:pPr>
        <w:pStyle w:val="7"/>
        <w:keepNext/>
        <w:rPr>
          <w:i w:val="0"/>
        </w:rPr>
      </w:pPr>
      <w:bookmarkStart w:id="5" w:name="_Toc526501149"/>
      <w:r>
        <w:rPr>
          <w:i w:val="0"/>
        </w:rPr>
        <w:t>Table A</w:t>
      </w:r>
      <w:r>
        <w:rPr>
          <w:i w:val="0"/>
        </w:rPr>
        <w:fldChar w:fldCharType="begin"/>
      </w:r>
      <w:r>
        <w:rPr>
          <w:i w:val="0"/>
        </w:rPr>
        <w:instrText xml:space="preserve"> SEQ Table \* ARABIC \r A1 </w:instrText>
      </w:r>
      <w:r>
        <w:rPr>
          <w:i w:val="0"/>
        </w:rPr>
        <w:fldChar w:fldCharType="separate"/>
      </w:r>
      <w:r>
        <w:rPr>
          <w:i w:val="0"/>
        </w:rPr>
        <w:t>1</w:t>
      </w:r>
      <w:r>
        <w:rPr>
          <w:i w:val="0"/>
        </w:rPr>
        <w:fldChar w:fldCharType="end"/>
      </w:r>
      <w:r>
        <w:rPr>
          <w:i w:val="0"/>
        </w:rPr>
        <w:t xml:space="preserve"> Example table appendix</w:t>
      </w:r>
      <w:bookmarkEnd w:id="5"/>
    </w:p>
    <w:tbl>
      <w:tblPr>
        <w:tblStyle w:val="39"/>
        <w:tblW w:w="5000" w:type="pct"/>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3"/>
        <w:gridCol w:w="2473"/>
        <w:gridCol w:w="2231"/>
        <w:gridCol w:w="2229"/>
      </w:tblGrid>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tcBorders>
              <w:bottom w:val="single" w:color="000000" w:themeColor="text1" w:sz="4" w:space="0"/>
              <w:insideH w:val="single" w:sz="4" w:space="0"/>
            </w:tcBorders>
            <w:noWrap/>
          </w:tcPr>
          <w:p>
            <w:pPr>
              <w:rPr>
                <w:b/>
                <w:bCs/>
                <w:color w:val="auto"/>
              </w:rPr>
            </w:pPr>
            <w:bookmarkStart w:id="6" w:name="_Hlk525816353"/>
            <w:r>
              <w:rPr>
                <w:b/>
                <w:bCs/>
                <w:color w:val="auto"/>
              </w:rPr>
              <w:t>College</w:t>
            </w:r>
          </w:p>
        </w:tc>
        <w:tc>
          <w:tcPr>
            <w:tcW w:w="1291" w:type="pct"/>
            <w:tcBorders>
              <w:bottom w:val="single" w:color="000000" w:themeColor="text1" w:sz="4" w:space="0"/>
              <w:insideH w:val="single" w:sz="4" w:space="0"/>
            </w:tcBorders>
          </w:tcPr>
          <w:p>
            <w:pPr>
              <w:rPr>
                <w:b/>
                <w:bCs/>
                <w:color w:val="auto"/>
              </w:rPr>
            </w:pPr>
            <w:r>
              <w:rPr>
                <w:b/>
                <w:bCs/>
                <w:color w:val="auto"/>
              </w:rPr>
              <w:t>New students</w:t>
            </w:r>
          </w:p>
        </w:tc>
        <w:tc>
          <w:tcPr>
            <w:tcW w:w="1165" w:type="pct"/>
            <w:tcBorders>
              <w:bottom w:val="single" w:color="000000" w:themeColor="text1" w:sz="4" w:space="0"/>
              <w:insideH w:val="single" w:sz="4" w:space="0"/>
            </w:tcBorders>
          </w:tcPr>
          <w:p>
            <w:pPr>
              <w:rPr>
                <w:b/>
                <w:bCs/>
                <w:color w:val="auto"/>
              </w:rPr>
            </w:pPr>
            <w:r>
              <w:rPr>
                <w:b/>
                <w:bCs/>
                <w:color w:val="auto"/>
              </w:rPr>
              <w:t>Graduating students</w:t>
            </w:r>
          </w:p>
        </w:tc>
        <w:tc>
          <w:tcPr>
            <w:tcW w:w="1164" w:type="pct"/>
            <w:tcBorders>
              <w:bottom w:val="single" w:color="000000" w:themeColor="text1" w:sz="4" w:space="0"/>
              <w:insideH w:val="single" w:sz="4" w:space="0"/>
            </w:tcBorders>
          </w:tcPr>
          <w:p>
            <w:pPr>
              <w:rPr>
                <w:b/>
                <w:bCs/>
                <w:color w:val="auto"/>
              </w:rPr>
            </w:pPr>
            <w:r>
              <w:rPr>
                <w:b/>
                <w:bCs/>
                <w:color w:val="auto"/>
              </w:rPr>
              <w:t>Change</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p>
        </w:tc>
        <w:tc>
          <w:tcPr>
            <w:tcW w:w="1291" w:type="pct"/>
          </w:tcPr>
          <w:p>
            <w:pPr>
              <w:rPr>
                <w:rStyle w:val="38"/>
                <w:color w:val="auto"/>
              </w:rPr>
            </w:pPr>
            <w:r>
              <w:rPr>
                <w:rStyle w:val="38"/>
                <w:color w:val="auto"/>
              </w:rPr>
              <w:t>Undergraduate</w:t>
            </w:r>
          </w:p>
        </w:tc>
        <w:tc>
          <w:tcPr>
            <w:tcW w:w="1165" w:type="pct"/>
          </w:tcPr>
          <w:p>
            <w:pPr>
              <w:rPr>
                <w:color w:val="auto"/>
              </w:rPr>
            </w:pPr>
          </w:p>
        </w:tc>
        <w:tc>
          <w:tcPr>
            <w:tcW w:w="1164" w:type="pct"/>
          </w:tcPr>
          <w:p>
            <w:pPr>
              <w:rPr>
                <w:color w:val="auto"/>
              </w:rPr>
            </w:pP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r>
              <w:rPr>
                <w:color w:val="auto"/>
              </w:rPr>
              <w:t>Cedar University</w:t>
            </w:r>
          </w:p>
        </w:tc>
        <w:tc>
          <w:tcPr>
            <w:tcW w:w="1291" w:type="pct"/>
          </w:tcPr>
          <w:p>
            <w:pPr>
              <w:pStyle w:val="37"/>
              <w:rPr>
                <w:color w:val="auto"/>
              </w:rPr>
            </w:pPr>
            <w:r>
              <w:rPr>
                <w:color w:val="auto"/>
              </w:rPr>
              <w:t>110</w:t>
            </w:r>
          </w:p>
        </w:tc>
        <w:tc>
          <w:tcPr>
            <w:tcW w:w="1165" w:type="pct"/>
          </w:tcPr>
          <w:p>
            <w:pPr>
              <w:pStyle w:val="37"/>
              <w:rPr>
                <w:color w:val="auto"/>
              </w:rPr>
            </w:pPr>
            <w:r>
              <w:rPr>
                <w:color w:val="auto"/>
              </w:rPr>
              <w:t>103</w:t>
            </w:r>
          </w:p>
        </w:tc>
        <w:tc>
          <w:tcPr>
            <w:tcW w:w="1164" w:type="pct"/>
          </w:tcPr>
          <w:p>
            <w:pPr>
              <w:pStyle w:val="37"/>
              <w:rPr>
                <w:color w:val="auto"/>
              </w:rPr>
            </w:pPr>
            <w:r>
              <w:rPr>
                <w:color w:val="auto"/>
              </w:rPr>
              <w:t>+7</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r>
              <w:rPr>
                <w:color w:val="auto"/>
              </w:rPr>
              <w:t>Elm College</w:t>
            </w:r>
          </w:p>
        </w:tc>
        <w:tc>
          <w:tcPr>
            <w:tcW w:w="1291" w:type="pct"/>
          </w:tcPr>
          <w:p>
            <w:pPr>
              <w:pStyle w:val="37"/>
              <w:rPr>
                <w:color w:val="auto"/>
              </w:rPr>
            </w:pPr>
            <w:r>
              <w:rPr>
                <w:color w:val="auto"/>
              </w:rPr>
              <w:t>223</w:t>
            </w:r>
          </w:p>
        </w:tc>
        <w:tc>
          <w:tcPr>
            <w:tcW w:w="1165" w:type="pct"/>
          </w:tcPr>
          <w:p>
            <w:pPr>
              <w:pStyle w:val="37"/>
              <w:rPr>
                <w:color w:val="auto"/>
              </w:rPr>
            </w:pPr>
            <w:r>
              <w:rPr>
                <w:color w:val="auto"/>
              </w:rPr>
              <w:t>214</w:t>
            </w:r>
          </w:p>
        </w:tc>
        <w:tc>
          <w:tcPr>
            <w:tcW w:w="1164" w:type="pct"/>
          </w:tcPr>
          <w:p>
            <w:pPr>
              <w:pStyle w:val="37"/>
              <w:rPr>
                <w:color w:val="auto"/>
              </w:rPr>
            </w:pPr>
            <w:r>
              <w:rPr>
                <w:color w:val="auto"/>
              </w:rPr>
              <w:t>+9</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r>
              <w:rPr>
                <w:color w:val="auto"/>
              </w:rPr>
              <w:t xml:space="preserve">Maple Academy </w:t>
            </w:r>
          </w:p>
        </w:tc>
        <w:tc>
          <w:tcPr>
            <w:tcW w:w="1291" w:type="pct"/>
          </w:tcPr>
          <w:p>
            <w:pPr>
              <w:pStyle w:val="37"/>
              <w:rPr>
                <w:color w:val="auto"/>
              </w:rPr>
            </w:pPr>
            <w:r>
              <w:rPr>
                <w:color w:val="auto"/>
              </w:rPr>
              <w:t>197</w:t>
            </w:r>
          </w:p>
        </w:tc>
        <w:tc>
          <w:tcPr>
            <w:tcW w:w="1165" w:type="pct"/>
          </w:tcPr>
          <w:p>
            <w:pPr>
              <w:pStyle w:val="37"/>
              <w:rPr>
                <w:color w:val="auto"/>
              </w:rPr>
            </w:pPr>
            <w:r>
              <w:rPr>
                <w:color w:val="auto"/>
              </w:rPr>
              <w:t>120</w:t>
            </w:r>
          </w:p>
        </w:tc>
        <w:tc>
          <w:tcPr>
            <w:tcW w:w="1164" w:type="pct"/>
          </w:tcPr>
          <w:p>
            <w:pPr>
              <w:pStyle w:val="37"/>
              <w:rPr>
                <w:color w:val="auto"/>
              </w:rPr>
            </w:pPr>
            <w:r>
              <w:rPr>
                <w:color w:val="auto"/>
              </w:rPr>
              <w:t>+77</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r>
              <w:rPr>
                <w:color w:val="auto"/>
              </w:rPr>
              <w:t>Pine College</w:t>
            </w:r>
          </w:p>
        </w:tc>
        <w:tc>
          <w:tcPr>
            <w:tcW w:w="1291" w:type="pct"/>
          </w:tcPr>
          <w:p>
            <w:pPr>
              <w:pStyle w:val="37"/>
              <w:rPr>
                <w:color w:val="auto"/>
              </w:rPr>
            </w:pPr>
            <w:r>
              <w:rPr>
                <w:color w:val="auto"/>
              </w:rPr>
              <w:t>134</w:t>
            </w:r>
          </w:p>
        </w:tc>
        <w:tc>
          <w:tcPr>
            <w:tcW w:w="1165" w:type="pct"/>
          </w:tcPr>
          <w:p>
            <w:pPr>
              <w:pStyle w:val="37"/>
              <w:rPr>
                <w:color w:val="auto"/>
              </w:rPr>
            </w:pPr>
            <w:r>
              <w:rPr>
                <w:color w:val="auto"/>
              </w:rPr>
              <w:t>121</w:t>
            </w:r>
          </w:p>
        </w:tc>
        <w:tc>
          <w:tcPr>
            <w:tcW w:w="1164" w:type="pct"/>
          </w:tcPr>
          <w:p>
            <w:pPr>
              <w:pStyle w:val="37"/>
              <w:rPr>
                <w:color w:val="auto"/>
              </w:rPr>
            </w:pPr>
            <w:r>
              <w:rPr>
                <w:color w:val="auto"/>
              </w:rPr>
              <w:t>+13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1380" w:type="pct"/>
            <w:noWrap/>
          </w:tcPr>
          <w:p>
            <w:pPr>
              <w:rPr>
                <w:color w:val="auto"/>
              </w:rPr>
            </w:pPr>
            <w:r>
              <w:rPr>
                <w:color w:val="auto"/>
              </w:rPr>
              <w:t>Oak Institute</w:t>
            </w:r>
          </w:p>
        </w:tc>
        <w:tc>
          <w:tcPr>
            <w:tcW w:w="1291" w:type="pct"/>
          </w:tcPr>
          <w:p>
            <w:pPr>
              <w:pStyle w:val="37"/>
              <w:rPr>
                <w:color w:val="auto"/>
              </w:rPr>
            </w:pPr>
            <w:r>
              <w:rPr>
                <w:color w:val="auto"/>
              </w:rPr>
              <w:t>202</w:t>
            </w:r>
          </w:p>
        </w:tc>
        <w:tc>
          <w:tcPr>
            <w:tcW w:w="1165" w:type="pct"/>
          </w:tcPr>
          <w:p>
            <w:pPr>
              <w:pStyle w:val="37"/>
              <w:rPr>
                <w:color w:val="auto"/>
              </w:rPr>
            </w:pPr>
            <w:r>
              <w:rPr>
                <w:color w:val="auto"/>
              </w:rPr>
              <w:t>210</w:t>
            </w:r>
          </w:p>
        </w:tc>
        <w:tc>
          <w:tcPr>
            <w:tcW w:w="1164" w:type="pct"/>
          </w:tcPr>
          <w:p>
            <w:pPr>
              <w:pStyle w:val="37"/>
              <w:rPr>
                <w:color w:val="auto"/>
              </w:rPr>
            </w:pPr>
            <w:r>
              <w:rPr>
                <w:color w:val="auto"/>
              </w:rPr>
              <w:t>-8</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p>
        </w:tc>
        <w:tc>
          <w:tcPr>
            <w:tcW w:w="1291" w:type="pct"/>
          </w:tcPr>
          <w:p>
            <w:pPr>
              <w:rPr>
                <w:rStyle w:val="38"/>
                <w:color w:val="auto"/>
              </w:rPr>
            </w:pPr>
            <w:r>
              <w:rPr>
                <w:rStyle w:val="38"/>
                <w:color w:val="auto"/>
              </w:rPr>
              <w:t>Graduate</w:t>
            </w:r>
          </w:p>
        </w:tc>
        <w:tc>
          <w:tcPr>
            <w:tcW w:w="1165" w:type="pct"/>
          </w:tcPr>
          <w:p>
            <w:pPr>
              <w:rPr>
                <w:color w:val="auto"/>
              </w:rPr>
            </w:pPr>
          </w:p>
        </w:tc>
        <w:tc>
          <w:tcPr>
            <w:tcW w:w="1164" w:type="pct"/>
          </w:tcPr>
          <w:p>
            <w:pPr>
              <w:rPr>
                <w:color w:val="auto"/>
              </w:rPr>
            </w:pP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r>
              <w:rPr>
                <w:color w:val="auto"/>
              </w:rPr>
              <w:t>Cedar University</w:t>
            </w:r>
          </w:p>
        </w:tc>
        <w:tc>
          <w:tcPr>
            <w:tcW w:w="1291" w:type="pct"/>
          </w:tcPr>
          <w:p>
            <w:pPr>
              <w:pStyle w:val="37"/>
              <w:rPr>
                <w:color w:val="auto"/>
              </w:rPr>
            </w:pPr>
            <w:r>
              <w:rPr>
                <w:color w:val="auto"/>
              </w:rPr>
              <w:t>24</w:t>
            </w:r>
          </w:p>
        </w:tc>
        <w:tc>
          <w:tcPr>
            <w:tcW w:w="1165" w:type="pct"/>
          </w:tcPr>
          <w:p>
            <w:pPr>
              <w:pStyle w:val="37"/>
              <w:rPr>
                <w:color w:val="auto"/>
              </w:rPr>
            </w:pPr>
            <w:r>
              <w:rPr>
                <w:color w:val="auto"/>
              </w:rPr>
              <w:t>20</w:t>
            </w:r>
          </w:p>
        </w:tc>
        <w:tc>
          <w:tcPr>
            <w:tcW w:w="1164" w:type="pct"/>
          </w:tcPr>
          <w:p>
            <w:pPr>
              <w:pStyle w:val="37"/>
              <w:rPr>
                <w:color w:val="auto"/>
              </w:rPr>
            </w:pPr>
            <w:r>
              <w:rPr>
                <w:color w:val="auto"/>
              </w:rPr>
              <w:t>+4</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r>
              <w:rPr>
                <w:color w:val="auto"/>
              </w:rPr>
              <w:t>Elm College</w:t>
            </w:r>
          </w:p>
        </w:tc>
        <w:tc>
          <w:tcPr>
            <w:tcW w:w="1291" w:type="pct"/>
          </w:tcPr>
          <w:p>
            <w:pPr>
              <w:pStyle w:val="37"/>
              <w:rPr>
                <w:color w:val="auto"/>
              </w:rPr>
            </w:pPr>
            <w:r>
              <w:rPr>
                <w:color w:val="auto"/>
              </w:rPr>
              <w:t>43</w:t>
            </w:r>
          </w:p>
        </w:tc>
        <w:tc>
          <w:tcPr>
            <w:tcW w:w="1165" w:type="pct"/>
          </w:tcPr>
          <w:p>
            <w:pPr>
              <w:pStyle w:val="37"/>
              <w:rPr>
                <w:color w:val="auto"/>
              </w:rPr>
            </w:pPr>
            <w:r>
              <w:rPr>
                <w:color w:val="auto"/>
              </w:rPr>
              <w:t>53</w:t>
            </w:r>
          </w:p>
        </w:tc>
        <w:tc>
          <w:tcPr>
            <w:tcW w:w="1164" w:type="pct"/>
          </w:tcPr>
          <w:p>
            <w:pPr>
              <w:pStyle w:val="37"/>
              <w:rPr>
                <w:color w:val="auto"/>
              </w:rPr>
            </w:pPr>
            <w:r>
              <w:rPr>
                <w:color w:val="auto"/>
              </w:rPr>
              <w:t>-10</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r>
              <w:rPr>
                <w:color w:val="auto"/>
              </w:rPr>
              <w:t xml:space="preserve">Maple Academy </w:t>
            </w:r>
          </w:p>
        </w:tc>
        <w:tc>
          <w:tcPr>
            <w:tcW w:w="1291" w:type="pct"/>
          </w:tcPr>
          <w:p>
            <w:pPr>
              <w:pStyle w:val="37"/>
              <w:rPr>
                <w:color w:val="auto"/>
              </w:rPr>
            </w:pPr>
            <w:r>
              <w:rPr>
                <w:color w:val="auto"/>
              </w:rPr>
              <w:t>3</w:t>
            </w:r>
          </w:p>
        </w:tc>
        <w:tc>
          <w:tcPr>
            <w:tcW w:w="1165" w:type="pct"/>
          </w:tcPr>
          <w:p>
            <w:pPr>
              <w:pStyle w:val="37"/>
              <w:rPr>
                <w:color w:val="auto"/>
              </w:rPr>
            </w:pPr>
            <w:r>
              <w:rPr>
                <w:color w:val="auto"/>
              </w:rPr>
              <w:t>11</w:t>
            </w:r>
          </w:p>
        </w:tc>
        <w:tc>
          <w:tcPr>
            <w:tcW w:w="1164" w:type="pct"/>
          </w:tcPr>
          <w:p>
            <w:pPr>
              <w:pStyle w:val="37"/>
              <w:rPr>
                <w:color w:val="auto"/>
              </w:rPr>
            </w:pPr>
            <w:r>
              <w:rPr>
                <w:color w:val="auto"/>
              </w:rPr>
              <w:t>-8</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r>
              <w:rPr>
                <w:color w:val="auto"/>
              </w:rPr>
              <w:t>Pine College</w:t>
            </w:r>
          </w:p>
        </w:tc>
        <w:tc>
          <w:tcPr>
            <w:tcW w:w="1291" w:type="pct"/>
          </w:tcPr>
          <w:p>
            <w:pPr>
              <w:pStyle w:val="37"/>
              <w:rPr>
                <w:color w:val="auto"/>
              </w:rPr>
            </w:pPr>
            <w:r>
              <w:rPr>
                <w:color w:val="auto"/>
              </w:rPr>
              <w:t>9</w:t>
            </w:r>
          </w:p>
        </w:tc>
        <w:tc>
          <w:tcPr>
            <w:tcW w:w="1165" w:type="pct"/>
          </w:tcPr>
          <w:p>
            <w:pPr>
              <w:pStyle w:val="37"/>
              <w:rPr>
                <w:color w:val="auto"/>
              </w:rPr>
            </w:pPr>
            <w:r>
              <w:rPr>
                <w:color w:val="auto"/>
              </w:rPr>
              <w:t>4</w:t>
            </w:r>
          </w:p>
        </w:tc>
        <w:tc>
          <w:tcPr>
            <w:tcW w:w="1164" w:type="pct"/>
          </w:tcPr>
          <w:p>
            <w:pPr>
              <w:pStyle w:val="37"/>
              <w:rPr>
                <w:color w:val="auto"/>
              </w:rPr>
            </w:pPr>
            <w:r>
              <w:rPr>
                <w:color w:val="auto"/>
              </w:rPr>
              <w:t>+5</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noWrap/>
          </w:tcPr>
          <w:p>
            <w:pPr>
              <w:rPr>
                <w:color w:val="auto"/>
              </w:rPr>
            </w:pPr>
            <w:r>
              <w:rPr>
                <w:color w:val="auto"/>
              </w:rPr>
              <w:t>Oak Institute</w:t>
            </w:r>
          </w:p>
        </w:tc>
        <w:tc>
          <w:tcPr>
            <w:tcW w:w="1291" w:type="pct"/>
          </w:tcPr>
          <w:p>
            <w:pPr>
              <w:pStyle w:val="37"/>
              <w:rPr>
                <w:color w:val="auto"/>
              </w:rPr>
            </w:pPr>
            <w:r>
              <w:rPr>
                <w:color w:val="auto"/>
              </w:rPr>
              <w:t>53</w:t>
            </w:r>
          </w:p>
        </w:tc>
        <w:tc>
          <w:tcPr>
            <w:tcW w:w="1165" w:type="pct"/>
          </w:tcPr>
          <w:p>
            <w:pPr>
              <w:pStyle w:val="37"/>
              <w:rPr>
                <w:color w:val="auto"/>
              </w:rPr>
            </w:pPr>
            <w:r>
              <w:rPr>
                <w:color w:val="auto"/>
              </w:rPr>
              <w:t>52</w:t>
            </w:r>
          </w:p>
        </w:tc>
        <w:tc>
          <w:tcPr>
            <w:tcW w:w="1164" w:type="pct"/>
          </w:tcPr>
          <w:p>
            <w:pPr>
              <w:pStyle w:val="37"/>
              <w:rPr>
                <w:color w:val="auto"/>
              </w:rPr>
            </w:pPr>
            <w:r>
              <w:rPr>
                <w:color w:val="auto"/>
              </w:rPr>
              <w:t>+1</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0" w:type="pct"/>
            <w:tcBorders>
              <w:top w:val="double" w:color="000000" w:themeColor="text1" w:sz="4" w:space="0"/>
            </w:tcBorders>
            <w:noWrap/>
          </w:tcPr>
          <w:p>
            <w:pPr>
              <w:rPr>
                <w:b/>
                <w:bCs/>
                <w:color w:val="auto"/>
              </w:rPr>
            </w:pPr>
            <w:r>
              <w:rPr>
                <w:b/>
                <w:bCs/>
                <w:color w:val="auto"/>
              </w:rPr>
              <w:t>Total</w:t>
            </w:r>
          </w:p>
        </w:tc>
        <w:tc>
          <w:tcPr>
            <w:tcW w:w="1291" w:type="pct"/>
            <w:tcBorders>
              <w:top w:val="double" w:color="000000" w:themeColor="text1" w:sz="4" w:space="0"/>
            </w:tcBorders>
          </w:tcPr>
          <w:p>
            <w:pPr>
              <w:pStyle w:val="37"/>
              <w:rPr>
                <w:b/>
                <w:bCs/>
                <w:color w:val="auto"/>
              </w:rPr>
            </w:pPr>
            <w:r>
              <w:rPr>
                <w:b/>
                <w:bCs/>
                <w:color w:val="auto"/>
              </w:rPr>
              <w:t>998</w:t>
            </w:r>
          </w:p>
        </w:tc>
        <w:tc>
          <w:tcPr>
            <w:tcW w:w="1165" w:type="pct"/>
            <w:tcBorders>
              <w:top w:val="double" w:color="000000" w:themeColor="text1" w:sz="4" w:space="0"/>
            </w:tcBorders>
          </w:tcPr>
          <w:p>
            <w:pPr>
              <w:pStyle w:val="37"/>
              <w:rPr>
                <w:b/>
                <w:bCs/>
                <w:color w:val="auto"/>
              </w:rPr>
            </w:pPr>
            <w:r>
              <w:rPr>
                <w:b/>
                <w:bCs/>
                <w:color w:val="auto"/>
              </w:rPr>
              <w:t>908</w:t>
            </w:r>
          </w:p>
        </w:tc>
        <w:tc>
          <w:tcPr>
            <w:tcW w:w="1164" w:type="pct"/>
            <w:tcBorders>
              <w:top w:val="double" w:color="000000" w:themeColor="text1" w:sz="4" w:space="0"/>
            </w:tcBorders>
          </w:tcPr>
          <w:p>
            <w:pPr>
              <w:pStyle w:val="37"/>
              <w:rPr>
                <w:b/>
                <w:bCs/>
                <w:color w:val="auto"/>
              </w:rPr>
            </w:pPr>
            <w:r>
              <w:rPr>
                <w:b/>
                <w:bCs/>
                <w:color w:val="auto"/>
              </w:rPr>
              <w:t>90</w:t>
            </w:r>
          </w:p>
        </w:tc>
      </w:tr>
      <w:bookmarkEnd w:id="6"/>
    </w:tbl>
    <w:p>
      <w:pPr>
        <w:spacing w:before="40"/>
        <w:ind w:firstLine="0"/>
        <w:rPr>
          <w:rFonts w:asciiTheme="majorHAnsi" w:hAnsiTheme="majorHAnsi" w:cstheme="majorHAnsi"/>
        </w:rPr>
      </w:pPr>
      <w:r>
        <w:rPr>
          <w:rStyle w:val="38"/>
          <w:rFonts w:asciiTheme="majorHAnsi" w:hAnsiTheme="majorHAnsi" w:cstheme="majorHAnsi"/>
        </w:rPr>
        <w:t>Source:</w:t>
      </w:r>
      <w:r>
        <w:rPr>
          <w:rFonts w:asciiTheme="majorHAnsi" w:hAnsiTheme="majorHAnsi" w:cstheme="majorHAnsi"/>
        </w:rPr>
        <w:t xml:space="preserve"> Fictitious data, for illustration purposes only</w:t>
      </w:r>
    </w:p>
    <w:p>
      <w:pPr>
        <w:spacing w:after="160" w:line="259" w:lineRule="auto"/>
        <w:ind w:firstLine="0"/>
      </w:pPr>
      <w:r>
        <w:br w:type="page"/>
      </w:r>
    </w:p>
    <w:p>
      <w:pPr>
        <w:pStyle w:val="16"/>
        <w:keepNext/>
      </w:pPr>
      <w:r>
        <w:drawing>
          <wp:inline distT="0" distB="0" distL="0" distR="0">
            <wp:extent cx="5486400" cy="33432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7"/>
        <w:rPr>
          <w:i w:val="0"/>
          <w:vanish/>
          <w:lang w:val="en-GB"/>
        </w:rPr>
      </w:pPr>
      <w:bookmarkStart w:id="7" w:name="_Toc526501144"/>
      <w:r>
        <w:t>Figure A</w:t>
      </w:r>
      <w:r>
        <w:fldChar w:fldCharType="begin"/>
      </w:r>
      <w:r>
        <w:instrText xml:space="preserve"> SEQ Figure \* ARABIC \r 1 </w:instrText>
      </w:r>
      <w:r>
        <w:fldChar w:fldCharType="separate"/>
      </w:r>
      <w:r>
        <w:t>1</w:t>
      </w:r>
      <w:r>
        <w:fldChar w:fldCharType="end"/>
      </w:r>
      <w:r>
        <w:t xml:space="preserve">. </w:t>
      </w:r>
      <w:r>
        <w:rPr>
          <w:i w:val="0"/>
        </w:rPr>
        <w:t>Example figure appendix</w:t>
      </w:r>
      <w:bookmarkEnd w:id="7"/>
    </w:p>
    <w:p>
      <w:pPr>
        <w:pStyle w:val="7"/>
        <w:rPr>
          <w:i w:val="0"/>
          <w:lang w:val="en-GB"/>
        </w:rPr>
      </w:pPr>
      <w:r>
        <w:rPr>
          <w:i w:val="0"/>
          <w:lang w:val="en-GB"/>
        </w:rPr>
        <w:t xml:space="preserve"> (Author, 2018)</w:t>
      </w:r>
    </w:p>
    <w:p>
      <w:pPr>
        <w:keepNext/>
        <w:spacing w:after="160" w:line="259" w:lineRule="auto"/>
        <w:ind w:firstLine="0"/>
      </w:pPr>
      <w:r>
        <w:drawing>
          <wp:inline distT="0" distB="0" distL="0" distR="0">
            <wp:extent cx="5486400" cy="3200400"/>
            <wp:effectExtent l="0" t="0" r="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7"/>
        <w:rPr>
          <w:i w:val="0"/>
          <w:vanish/>
          <w:lang w:val="en-GB"/>
        </w:rPr>
      </w:pPr>
      <w:bookmarkStart w:id="8" w:name="_Toc526501145"/>
      <w:r>
        <w:t>Figure A</w:t>
      </w:r>
      <w:r>
        <w:fldChar w:fldCharType="begin"/>
      </w:r>
      <w:r>
        <w:instrText xml:space="preserve"> SEQ Figure \* ARABIC </w:instrText>
      </w:r>
      <w:r>
        <w:fldChar w:fldCharType="separate"/>
      </w:r>
      <w:r>
        <w:t>2</w:t>
      </w:r>
      <w:r>
        <w:fldChar w:fldCharType="end"/>
      </w:r>
      <w:r>
        <w:t>.</w:t>
      </w:r>
      <w:r>
        <w:rPr>
          <w:i w:val="0"/>
        </w:rPr>
        <w:t xml:space="preserve"> Example figure appendix</w:t>
      </w:r>
      <w:bookmarkEnd w:id="8"/>
    </w:p>
    <w:p>
      <w:pPr>
        <w:pStyle w:val="7"/>
        <w:rPr>
          <w:lang w:val="en-GB"/>
        </w:rPr>
      </w:pPr>
      <w:r>
        <w:rPr>
          <w:i w:val="0"/>
          <w:lang w:val="en-GB"/>
        </w:rPr>
        <w:t xml:space="preserve"> (Author, 2018</w:t>
      </w:r>
      <w:r>
        <w:rPr>
          <w:lang w:val="en-GB"/>
        </w:rPr>
        <w:t>)</w:t>
      </w:r>
    </w:p>
    <w:p>
      <w:pPr>
        <w:pStyle w:val="7"/>
        <w:rPr>
          <w:rFonts w:eastAsiaTheme="majorEastAsia" w:cstheme="majorBidi"/>
          <w:b/>
          <w:szCs w:val="32"/>
          <w:lang w:val="en-GB"/>
        </w:rPr>
      </w:pPr>
      <w:r>
        <w:rPr>
          <w:lang w:val="en-GB"/>
        </w:rPr>
        <w:br w:type="page"/>
      </w:r>
    </w:p>
    <w:p>
      <w:pPr>
        <w:pStyle w:val="2"/>
        <w:rPr>
          <w:lang w:val="en-GB"/>
        </w:rPr>
      </w:pPr>
      <w:bookmarkStart w:id="9" w:name="_Toc526501199"/>
      <w:r>
        <w:rPr>
          <w:lang w:val="en-GB"/>
        </w:rPr>
        <w:t>Appendix B</w:t>
      </w:r>
      <w:bookmarkEnd w:id="9"/>
    </w:p>
    <w:p>
      <w:pPr>
        <w:keepNext/>
        <w:spacing w:after="160" w:line="259" w:lineRule="auto"/>
        <w:ind w:firstLine="0"/>
      </w:pPr>
      <w: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7"/>
        <w:rPr>
          <w:i w:val="0"/>
          <w:vanish/>
          <w:lang w:val="en-GB"/>
        </w:rPr>
      </w:pPr>
      <w:bookmarkStart w:id="10" w:name="_Toc526501146"/>
      <w:r>
        <w:t>Figure B</w:t>
      </w:r>
      <w:r>
        <w:fldChar w:fldCharType="begin"/>
      </w:r>
      <w:r>
        <w:instrText xml:space="preserve"> SEQ Figure \* ARABIC \r 1 </w:instrText>
      </w:r>
      <w:r>
        <w:fldChar w:fldCharType="separate"/>
      </w:r>
      <w:r>
        <w:t>1</w:t>
      </w:r>
      <w:r>
        <w:fldChar w:fldCharType="end"/>
      </w:r>
      <w:r>
        <w:t xml:space="preserve">. </w:t>
      </w:r>
      <w:r>
        <w:rPr>
          <w:i w:val="0"/>
        </w:rPr>
        <w:t>Example figure appendix</w:t>
      </w:r>
      <w:bookmarkEnd w:id="10"/>
    </w:p>
    <w:p>
      <w:pPr>
        <w:pStyle w:val="7"/>
        <w:rPr>
          <w:i w:val="0"/>
          <w:lang w:val="en-GB"/>
        </w:rPr>
      </w:pPr>
      <w:r>
        <w:rPr>
          <w:i w:val="0"/>
          <w:lang w:val="en-GB"/>
        </w:rPr>
        <w:t xml:space="preserve"> (Author, 2018)</w:t>
      </w:r>
    </w:p>
    <w:sectPr>
      <w:headerReference r:id="rId7"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drawing>
        <wp:anchor distT="0" distB="0" distL="114300" distR="114300" simplePos="0" relativeHeight="251659264" behindDoc="0" locked="0" layoutInCell="1" allowOverlap="1">
          <wp:simplePos x="0" y="0"/>
          <wp:positionH relativeFrom="column">
            <wp:posOffset>5295900</wp:posOffset>
          </wp:positionH>
          <wp:positionV relativeFrom="paragraph">
            <wp:posOffset>76200</wp:posOffset>
          </wp:positionV>
          <wp:extent cx="1238250" cy="285750"/>
          <wp:effectExtent l="0" t="0" r="0" b="0"/>
          <wp:wrapSquare wrapText="bothSides"/>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referRelativeResize="0"/>
                </pic:nvPicPr>
                <pic:blipFill>
                  <a:blip r:embed="rId1"/>
                  <a:srcRect/>
                  <a:stretch>
                    <a:fillRect/>
                  </a:stretch>
                </pic:blipFill>
                <pic:spPr>
                  <a:xfrm>
                    <a:off x="0" y="0"/>
                    <a:ext cx="1238250" cy="28575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0"/>
      <w:jc w:val="right"/>
    </w:pPr>
    <w:r>
      <w:t>Running head: SHORT PAPER TITLE</w:t>
    </w:r>
    <w:r>
      <w:tab/>
    </w:r>
    <w:r>
      <w:tab/>
    </w:r>
    <w:sdt>
      <w:sdtPr>
        <w:id w:val="-278417801"/>
        <w:docPartObj>
          <w:docPartGallery w:val="autotext"/>
        </w:docPartObj>
      </w:sdtPr>
      <w:sdtContent>
        <w:r>
          <w:fldChar w:fldCharType="begin"/>
        </w:r>
        <w:r>
          <w:instrText xml:space="preserve">PAGE   \* MERGEFORMAT</w:instrText>
        </w:r>
        <w:r>
          <w:fldChar w:fldCharType="separate"/>
        </w:r>
        <w:r>
          <w:rPr>
            <w:lang w:val="nl-NL"/>
          </w:rPr>
          <w:t>2</w:t>
        </w:r>
        <w: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0"/>
      <w:jc w:val="right"/>
    </w:pPr>
    <w:r>
      <w:t>SHORT PAPER TITLE</w:t>
    </w:r>
    <w:r>
      <w:tab/>
    </w:r>
    <w:r>
      <w:tab/>
    </w:r>
    <w:sdt>
      <w:sdtPr>
        <w:id w:val="-1480924818"/>
        <w:docPartObj>
          <w:docPartGallery w:val="autotext"/>
        </w:docPartObj>
      </w:sdtPr>
      <w:sdtContent>
        <w:r>
          <w:fldChar w:fldCharType="begin"/>
        </w:r>
        <w:r>
          <w:instrText xml:space="preserve">PAGE   \* MERGEFORMAT</w:instrText>
        </w:r>
        <w:r>
          <w:fldChar w:fldCharType="separate"/>
        </w:r>
        <w:r>
          <w:rPr>
            <w:lang w:val="nl-NL"/>
          </w:rPr>
          <w:t>2</w:t>
        </w:r>
        <w: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D"/>
    <w:multiLevelType w:val="singleLevel"/>
    <w:tmpl w:val="FFFFFF7D"/>
    <w:lvl w:ilvl="0" w:tentative="0">
      <w:start w:val="1"/>
      <w:numFmt w:val="decimal"/>
      <w:pStyle w:val="11"/>
      <w:lvlText w:val="%1."/>
      <w:lvlJc w:val="left"/>
      <w:pPr>
        <w:tabs>
          <w:tab w:val="left" w:pos="1209"/>
        </w:tabs>
        <w:ind w:left="1209"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4YTFjYjUwM2NiY2E4OTk5YWQzNDQ0NjgzNTY1YjUifQ=="/>
  </w:docVars>
  <w:rsids>
    <w:rsidRoot w:val="005632CA"/>
    <w:rsid w:val="000E79FA"/>
    <w:rsid w:val="000F6500"/>
    <w:rsid w:val="00117442"/>
    <w:rsid w:val="001C2E22"/>
    <w:rsid w:val="00332919"/>
    <w:rsid w:val="00360112"/>
    <w:rsid w:val="00367F15"/>
    <w:rsid w:val="00380FD1"/>
    <w:rsid w:val="00413D17"/>
    <w:rsid w:val="004508B5"/>
    <w:rsid w:val="004662F6"/>
    <w:rsid w:val="004E0BBB"/>
    <w:rsid w:val="004E4683"/>
    <w:rsid w:val="00527AB6"/>
    <w:rsid w:val="0054015B"/>
    <w:rsid w:val="00553535"/>
    <w:rsid w:val="005632CA"/>
    <w:rsid w:val="0060509C"/>
    <w:rsid w:val="00632572"/>
    <w:rsid w:val="00664398"/>
    <w:rsid w:val="007943AB"/>
    <w:rsid w:val="007D24D7"/>
    <w:rsid w:val="007E2989"/>
    <w:rsid w:val="00827847"/>
    <w:rsid w:val="00835321"/>
    <w:rsid w:val="008801F2"/>
    <w:rsid w:val="00891C44"/>
    <w:rsid w:val="0089257B"/>
    <w:rsid w:val="008A629F"/>
    <w:rsid w:val="008A6EDA"/>
    <w:rsid w:val="008E383D"/>
    <w:rsid w:val="00937EFC"/>
    <w:rsid w:val="009A18F9"/>
    <w:rsid w:val="00A22A32"/>
    <w:rsid w:val="00A96501"/>
    <w:rsid w:val="00B13425"/>
    <w:rsid w:val="00B4687F"/>
    <w:rsid w:val="00B54EB6"/>
    <w:rsid w:val="00BF2B81"/>
    <w:rsid w:val="00C76900"/>
    <w:rsid w:val="00CF4540"/>
    <w:rsid w:val="00D83FCE"/>
    <w:rsid w:val="00DC7609"/>
    <w:rsid w:val="00E25267"/>
    <w:rsid w:val="00E4775A"/>
    <w:rsid w:val="00E75F0D"/>
    <w:rsid w:val="00E96872"/>
    <w:rsid w:val="00EE39BE"/>
    <w:rsid w:val="00F51FED"/>
    <w:rsid w:val="00F96836"/>
    <w:rsid w:val="00FA683B"/>
    <w:rsid w:val="00FB1A06"/>
    <w:rsid w:val="35BC2A0E"/>
    <w:rsid w:val="3B76252A"/>
    <w:rsid w:val="6F223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qFormat="1"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480" w:lineRule="auto"/>
      <w:ind w:firstLine="720"/>
    </w:pPr>
    <w:rPr>
      <w:rFonts w:ascii="Times New Roman" w:hAnsi="Times New Roman" w:eastAsiaTheme="minorHAnsi" w:cstheme="minorBidi"/>
      <w:sz w:val="24"/>
      <w:szCs w:val="22"/>
      <w:lang w:val="en-US" w:eastAsia="en-US" w:bidi="ar-SA"/>
    </w:rPr>
  </w:style>
  <w:style w:type="paragraph" w:styleId="2">
    <w:name w:val="heading 1"/>
    <w:basedOn w:val="1"/>
    <w:next w:val="1"/>
    <w:link w:val="28"/>
    <w:qFormat/>
    <w:uiPriority w:val="9"/>
    <w:pPr>
      <w:keepNext/>
      <w:keepLines/>
      <w:ind w:firstLine="0"/>
      <w:jc w:val="center"/>
      <w:outlineLvl w:val="0"/>
    </w:pPr>
    <w:rPr>
      <w:rFonts w:asciiTheme="majorHAnsi" w:hAnsiTheme="majorHAnsi" w:eastAsiaTheme="majorEastAsia" w:cstheme="majorBidi"/>
      <w:b/>
      <w:szCs w:val="32"/>
    </w:rPr>
  </w:style>
  <w:style w:type="paragraph" w:styleId="3">
    <w:name w:val="heading 2"/>
    <w:basedOn w:val="1"/>
    <w:next w:val="1"/>
    <w:link w:val="29"/>
    <w:unhideWhenUsed/>
    <w:qFormat/>
    <w:uiPriority w:val="9"/>
    <w:pPr>
      <w:keepNext/>
      <w:keepLines/>
      <w:ind w:firstLine="0"/>
      <w:outlineLvl w:val="1"/>
    </w:pPr>
    <w:rPr>
      <w:rFonts w:asciiTheme="majorHAnsi" w:hAnsiTheme="majorHAnsi" w:eastAsiaTheme="majorEastAsia" w:cstheme="majorBidi"/>
      <w:b/>
      <w:szCs w:val="26"/>
    </w:rPr>
  </w:style>
  <w:style w:type="paragraph" w:styleId="4">
    <w:name w:val="heading 3"/>
    <w:basedOn w:val="1"/>
    <w:next w:val="1"/>
    <w:link w:val="30"/>
    <w:unhideWhenUsed/>
    <w:qFormat/>
    <w:uiPriority w:val="9"/>
    <w:pPr>
      <w:keepNext/>
      <w:keepLines/>
      <w:outlineLvl w:val="2"/>
    </w:pPr>
    <w:rPr>
      <w:rFonts w:asciiTheme="majorHAnsi" w:hAnsiTheme="majorHAnsi" w:eastAsiaTheme="majorEastAsia" w:cstheme="majorBidi"/>
      <w:b/>
      <w:szCs w:val="24"/>
    </w:rPr>
  </w:style>
  <w:style w:type="paragraph" w:styleId="5">
    <w:name w:val="heading 4"/>
    <w:basedOn w:val="1"/>
    <w:next w:val="1"/>
    <w:link w:val="31"/>
    <w:unhideWhenUsed/>
    <w:qFormat/>
    <w:uiPriority w:val="9"/>
    <w:pPr>
      <w:keepNext/>
      <w:keepLines/>
      <w:outlineLvl w:val="3"/>
    </w:pPr>
    <w:rPr>
      <w:rFonts w:asciiTheme="majorHAnsi" w:hAnsiTheme="majorHAnsi" w:eastAsiaTheme="majorEastAsia" w:cstheme="majorBidi"/>
      <w:b/>
      <w:i/>
      <w:iCs/>
    </w:rPr>
  </w:style>
  <w:style w:type="paragraph" w:styleId="6">
    <w:name w:val="heading 5"/>
    <w:basedOn w:val="1"/>
    <w:next w:val="1"/>
    <w:link w:val="32"/>
    <w:unhideWhenUsed/>
    <w:qFormat/>
    <w:uiPriority w:val="9"/>
    <w:pPr>
      <w:keepNext/>
      <w:keepLines/>
      <w:outlineLvl w:val="4"/>
    </w:pPr>
    <w:rPr>
      <w:rFonts w:asciiTheme="majorHAnsi" w:hAnsiTheme="majorHAnsi" w:eastAsiaTheme="majorEastAsia" w:cstheme="majorBidi"/>
      <w:i/>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unhideWhenUsed/>
    <w:qFormat/>
    <w:uiPriority w:val="35"/>
    <w:pPr>
      <w:spacing w:before="80" w:after="240" w:line="240" w:lineRule="auto"/>
      <w:ind w:firstLine="0"/>
    </w:pPr>
    <w:rPr>
      <w:i/>
      <w:iCs/>
      <w:sz w:val="18"/>
      <w:szCs w:val="18"/>
    </w:rPr>
  </w:style>
  <w:style w:type="paragraph" w:styleId="8">
    <w:name w:val="toa heading"/>
    <w:basedOn w:val="1"/>
    <w:next w:val="1"/>
    <w:unhideWhenUsed/>
    <w:qFormat/>
    <w:uiPriority w:val="99"/>
    <w:pPr>
      <w:spacing w:before="120"/>
      <w:jc w:val="center"/>
    </w:pPr>
    <w:rPr>
      <w:rFonts w:asciiTheme="majorHAnsi" w:hAnsiTheme="majorHAnsi" w:eastAsiaTheme="majorEastAsia" w:cstheme="majorBidi"/>
      <w:bCs/>
      <w:szCs w:val="24"/>
    </w:rPr>
  </w:style>
  <w:style w:type="paragraph" w:styleId="9">
    <w:name w:val="toc 5"/>
    <w:basedOn w:val="1"/>
    <w:next w:val="1"/>
    <w:unhideWhenUsed/>
    <w:qFormat/>
    <w:uiPriority w:val="39"/>
    <w:pPr>
      <w:tabs>
        <w:tab w:val="right" w:leader="dot" w:pos="9350"/>
      </w:tabs>
      <w:spacing w:after="100"/>
      <w:ind w:left="1514" w:hanging="459"/>
    </w:pPr>
  </w:style>
  <w:style w:type="paragraph" w:styleId="10">
    <w:name w:val="toc 3"/>
    <w:basedOn w:val="1"/>
    <w:next w:val="1"/>
    <w:unhideWhenUsed/>
    <w:qFormat/>
    <w:uiPriority w:val="39"/>
    <w:pPr>
      <w:spacing w:after="100"/>
      <w:ind w:left="482" w:firstLine="0"/>
    </w:pPr>
  </w:style>
  <w:style w:type="paragraph" w:styleId="11">
    <w:name w:val="List Number 4"/>
    <w:basedOn w:val="1"/>
    <w:semiHidden/>
    <w:unhideWhenUsed/>
    <w:qFormat/>
    <w:uiPriority w:val="99"/>
    <w:pPr>
      <w:numPr>
        <w:ilvl w:val="0"/>
        <w:numId w:val="1"/>
      </w:numPr>
      <w:ind w:left="851" w:firstLine="0"/>
      <w:contextualSpacing/>
    </w:pPr>
  </w:style>
  <w:style w:type="paragraph" w:styleId="12">
    <w:name w:val="footer"/>
    <w:basedOn w:val="1"/>
    <w:link w:val="34"/>
    <w:unhideWhenUsed/>
    <w:qFormat/>
    <w:uiPriority w:val="99"/>
    <w:pPr>
      <w:tabs>
        <w:tab w:val="center" w:pos="4680"/>
        <w:tab w:val="right" w:pos="9360"/>
      </w:tabs>
      <w:spacing w:line="240" w:lineRule="auto"/>
    </w:pPr>
  </w:style>
  <w:style w:type="paragraph" w:styleId="13">
    <w:name w:val="header"/>
    <w:basedOn w:val="1"/>
    <w:link w:val="33"/>
    <w:unhideWhenUsed/>
    <w:qFormat/>
    <w:uiPriority w:val="99"/>
    <w:pPr>
      <w:tabs>
        <w:tab w:val="center" w:pos="4680"/>
        <w:tab w:val="right" w:pos="9360"/>
      </w:tabs>
      <w:spacing w:line="240" w:lineRule="auto"/>
    </w:pPr>
  </w:style>
  <w:style w:type="paragraph" w:styleId="14">
    <w:name w:val="toc 1"/>
    <w:basedOn w:val="1"/>
    <w:next w:val="1"/>
    <w:unhideWhenUsed/>
    <w:qFormat/>
    <w:uiPriority w:val="39"/>
    <w:pPr>
      <w:tabs>
        <w:tab w:val="right" w:leader="dot" w:pos="9350"/>
      </w:tabs>
      <w:spacing w:after="100"/>
      <w:ind w:firstLine="0"/>
    </w:pPr>
  </w:style>
  <w:style w:type="paragraph" w:styleId="15">
    <w:name w:val="toc 4"/>
    <w:basedOn w:val="1"/>
    <w:next w:val="1"/>
    <w:unhideWhenUsed/>
    <w:qFormat/>
    <w:uiPriority w:val="39"/>
    <w:pPr>
      <w:tabs>
        <w:tab w:val="right" w:leader="dot" w:pos="9350"/>
      </w:tabs>
      <w:spacing w:after="100"/>
      <w:ind w:left="720" w:firstLine="130"/>
    </w:pPr>
  </w:style>
  <w:style w:type="paragraph" w:styleId="16">
    <w:name w:val="footnote text"/>
    <w:basedOn w:val="1"/>
    <w:link w:val="40"/>
    <w:unhideWhenUsed/>
    <w:qFormat/>
    <w:uiPriority w:val="99"/>
    <w:pPr>
      <w:spacing w:line="240" w:lineRule="auto"/>
      <w:ind w:firstLine="0"/>
    </w:pPr>
    <w:rPr>
      <w:rFonts w:cs="Times New Roman" w:asciiTheme="minorHAnsi" w:hAnsiTheme="minorHAnsi" w:eastAsiaTheme="minorEastAsia"/>
      <w:sz w:val="20"/>
      <w:szCs w:val="20"/>
    </w:rPr>
  </w:style>
  <w:style w:type="paragraph" w:styleId="17">
    <w:name w:val="toc 6"/>
    <w:basedOn w:val="1"/>
    <w:next w:val="1"/>
    <w:semiHidden/>
    <w:unhideWhenUsed/>
    <w:qFormat/>
    <w:uiPriority w:val="39"/>
    <w:pPr>
      <w:spacing w:after="100"/>
      <w:ind w:left="1202" w:firstLine="0"/>
    </w:pPr>
  </w:style>
  <w:style w:type="paragraph" w:styleId="18">
    <w:name w:val="table of figures"/>
    <w:basedOn w:val="1"/>
    <w:next w:val="1"/>
    <w:unhideWhenUsed/>
    <w:qFormat/>
    <w:uiPriority w:val="99"/>
    <w:pPr>
      <w:ind w:firstLine="0"/>
    </w:pPr>
  </w:style>
  <w:style w:type="paragraph" w:styleId="19">
    <w:name w:val="toc 2"/>
    <w:basedOn w:val="1"/>
    <w:next w:val="1"/>
    <w:unhideWhenUsed/>
    <w:qFormat/>
    <w:uiPriority w:val="39"/>
    <w:pPr>
      <w:spacing w:after="100"/>
      <w:ind w:left="238" w:firstLine="0"/>
    </w:p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1">
    <w:name w:val="Title"/>
    <w:basedOn w:val="1"/>
    <w:next w:val="1"/>
    <w:link w:val="27"/>
    <w:qFormat/>
    <w:uiPriority w:val="10"/>
    <w:pPr>
      <w:contextualSpacing/>
      <w:jc w:val="center"/>
    </w:pPr>
    <w:rPr>
      <w:rFonts w:asciiTheme="majorHAnsi" w:hAnsiTheme="majorHAnsi" w:eastAsiaTheme="majorEastAsia" w:cstheme="majorBidi"/>
      <w:spacing w:val="-10"/>
      <w:kern w:val="28"/>
      <w:szCs w:val="56"/>
    </w:rPr>
  </w:style>
  <w:style w:type="table" w:styleId="23">
    <w:name w:val="Light Shading Accent 1"/>
    <w:basedOn w:val="22"/>
    <w:qFormat/>
    <w:uiPriority w:val="60"/>
    <w:pPr>
      <w:spacing w:after="0" w:line="240" w:lineRule="auto"/>
    </w:pPr>
    <w:rPr>
      <w:rFonts w:eastAsiaTheme="minorEastAsia"/>
      <w:color w:val="2F5597" w:themeColor="accent1" w:themeShade="BF"/>
    </w:rPr>
    <w:tblPr>
      <w:tblBorders>
        <w:top w:val="single" w:color="4472C4" w:themeColor="accent1" w:sz="8" w:space="0"/>
        <w:bottom w:val="single" w:color="4472C4" w:themeColor="accent1" w:sz="8" w:space="0"/>
      </w:tblBorders>
    </w:tblPr>
    <w:tblStylePr w:type="fir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left w:val="nil"/>
          <w:right w:val="nil"/>
          <w:insideH w:val="nil"/>
          <w:insideV w:val="nil"/>
        </w:tcBorders>
        <w:shd w:val="clear" w:color="auto" w:fill="D0DCF0" w:themeFill="accent1" w:themeFillTint="3F"/>
      </w:tcPr>
    </w:tblStylePr>
  </w:style>
  <w:style w:type="character" w:styleId="25">
    <w:name w:val="Strong"/>
    <w:basedOn w:val="24"/>
    <w:qFormat/>
    <w:uiPriority w:val="0"/>
    <w:rPr>
      <w:b/>
    </w:rPr>
  </w:style>
  <w:style w:type="character" w:styleId="26">
    <w:name w:val="Hyperlink"/>
    <w:basedOn w:val="24"/>
    <w:unhideWhenUsed/>
    <w:qFormat/>
    <w:uiPriority w:val="99"/>
    <w:rPr>
      <w:color w:val="0563C1" w:themeColor="hyperlink"/>
      <w:u w:val="single"/>
      <w14:textFill>
        <w14:solidFill>
          <w14:schemeClr w14:val="hlink"/>
        </w14:solidFill>
      </w14:textFill>
    </w:rPr>
  </w:style>
  <w:style w:type="character" w:customStyle="1" w:styleId="27">
    <w:name w:val="Title Char"/>
    <w:basedOn w:val="24"/>
    <w:link w:val="21"/>
    <w:qFormat/>
    <w:uiPriority w:val="10"/>
    <w:rPr>
      <w:rFonts w:asciiTheme="majorHAnsi" w:hAnsiTheme="majorHAnsi" w:eastAsiaTheme="majorEastAsia" w:cstheme="majorBidi"/>
      <w:spacing w:val="-10"/>
      <w:kern w:val="28"/>
      <w:sz w:val="24"/>
      <w:szCs w:val="56"/>
    </w:rPr>
  </w:style>
  <w:style w:type="character" w:customStyle="1" w:styleId="28">
    <w:name w:val="Heading 1 Char"/>
    <w:basedOn w:val="24"/>
    <w:link w:val="2"/>
    <w:qFormat/>
    <w:uiPriority w:val="9"/>
    <w:rPr>
      <w:rFonts w:asciiTheme="majorHAnsi" w:hAnsiTheme="majorHAnsi" w:eastAsiaTheme="majorEastAsia" w:cstheme="majorBidi"/>
      <w:b/>
      <w:sz w:val="24"/>
      <w:szCs w:val="32"/>
    </w:rPr>
  </w:style>
  <w:style w:type="character" w:customStyle="1" w:styleId="29">
    <w:name w:val="Heading 2 Char"/>
    <w:basedOn w:val="24"/>
    <w:link w:val="3"/>
    <w:qFormat/>
    <w:uiPriority w:val="9"/>
    <w:rPr>
      <w:rFonts w:asciiTheme="majorHAnsi" w:hAnsiTheme="majorHAnsi" w:eastAsiaTheme="majorEastAsia" w:cstheme="majorBidi"/>
      <w:b/>
      <w:sz w:val="24"/>
      <w:szCs w:val="26"/>
    </w:rPr>
  </w:style>
  <w:style w:type="character" w:customStyle="1" w:styleId="30">
    <w:name w:val="Heading 3 Char"/>
    <w:basedOn w:val="24"/>
    <w:link w:val="4"/>
    <w:qFormat/>
    <w:uiPriority w:val="9"/>
    <w:rPr>
      <w:rFonts w:asciiTheme="majorHAnsi" w:hAnsiTheme="majorHAnsi" w:eastAsiaTheme="majorEastAsia" w:cstheme="majorBidi"/>
      <w:b/>
      <w:sz w:val="24"/>
      <w:szCs w:val="24"/>
    </w:rPr>
  </w:style>
  <w:style w:type="character" w:customStyle="1" w:styleId="31">
    <w:name w:val="Heading 4 Char"/>
    <w:basedOn w:val="24"/>
    <w:link w:val="5"/>
    <w:qFormat/>
    <w:uiPriority w:val="9"/>
    <w:rPr>
      <w:rFonts w:asciiTheme="majorHAnsi" w:hAnsiTheme="majorHAnsi" w:eastAsiaTheme="majorEastAsia" w:cstheme="majorBidi"/>
      <w:b/>
      <w:i/>
      <w:iCs/>
      <w:sz w:val="24"/>
    </w:rPr>
  </w:style>
  <w:style w:type="character" w:customStyle="1" w:styleId="32">
    <w:name w:val="Heading 5 Char"/>
    <w:basedOn w:val="24"/>
    <w:link w:val="6"/>
    <w:qFormat/>
    <w:uiPriority w:val="9"/>
    <w:rPr>
      <w:rFonts w:asciiTheme="majorHAnsi" w:hAnsiTheme="majorHAnsi" w:eastAsiaTheme="majorEastAsia" w:cstheme="majorBidi"/>
      <w:i/>
      <w:sz w:val="24"/>
    </w:rPr>
  </w:style>
  <w:style w:type="character" w:customStyle="1" w:styleId="33">
    <w:name w:val="Header Char"/>
    <w:basedOn w:val="24"/>
    <w:link w:val="13"/>
    <w:qFormat/>
    <w:uiPriority w:val="99"/>
    <w:rPr>
      <w:rFonts w:ascii="Times New Roman" w:hAnsi="Times New Roman"/>
      <w:sz w:val="24"/>
    </w:rPr>
  </w:style>
  <w:style w:type="character" w:customStyle="1" w:styleId="34">
    <w:name w:val="Footer Char"/>
    <w:basedOn w:val="24"/>
    <w:link w:val="12"/>
    <w:qFormat/>
    <w:uiPriority w:val="99"/>
    <w:rPr>
      <w:rFonts w:ascii="Times New Roman" w:hAnsi="Times New Roman"/>
      <w:sz w:val="24"/>
    </w:rPr>
  </w:style>
  <w:style w:type="paragraph" w:customStyle="1" w:styleId="35">
    <w:name w:val="TOC Heading"/>
    <w:basedOn w:val="2"/>
    <w:next w:val="1"/>
    <w:unhideWhenUsed/>
    <w:qFormat/>
    <w:uiPriority w:val="39"/>
    <w:rPr>
      <w:rFonts w:ascii="Times New Roman" w:hAnsi="Times New Roman"/>
      <w:b w:val="0"/>
    </w:rPr>
  </w:style>
  <w:style w:type="paragraph" w:customStyle="1" w:styleId="36">
    <w:name w:val="ToF Heading"/>
    <w:basedOn w:val="35"/>
    <w:qFormat/>
    <w:uiPriority w:val="0"/>
    <w:pPr>
      <w:spacing w:before="240" w:after="160" w:line="259" w:lineRule="auto"/>
    </w:pPr>
    <w:rPr>
      <w:lang w:val="en-GB"/>
    </w:rPr>
  </w:style>
  <w:style w:type="paragraph" w:customStyle="1" w:styleId="37">
    <w:name w:val="Decimal Aligned"/>
    <w:basedOn w:val="1"/>
    <w:qFormat/>
    <w:uiPriority w:val="40"/>
    <w:pPr>
      <w:tabs>
        <w:tab w:val="decimal" w:pos="360"/>
      </w:tabs>
      <w:spacing w:after="200" w:line="276" w:lineRule="auto"/>
      <w:ind w:firstLine="0"/>
    </w:pPr>
    <w:rPr>
      <w:rFonts w:cs="Times New Roman" w:eastAsiaTheme="minorEastAsia"/>
      <w:color w:val="000000" w:themeColor="text1"/>
      <w:sz w:val="22"/>
      <w14:textFill>
        <w14:solidFill>
          <w14:schemeClr w14:val="tx1"/>
        </w14:solidFill>
      </w14:textFill>
    </w:rPr>
  </w:style>
  <w:style w:type="character" w:customStyle="1" w:styleId="38">
    <w:name w:val="Subtle Emphasis"/>
    <w:basedOn w:val="24"/>
    <w:qFormat/>
    <w:uiPriority w:val="19"/>
    <w:rPr>
      <w:i/>
      <w:iCs/>
    </w:rPr>
  </w:style>
  <w:style w:type="table" w:customStyle="1" w:styleId="39">
    <w:name w:val="List Table 6 Colorful"/>
    <w:basedOn w:val="22"/>
    <w:qFormat/>
    <w:uiPriority w:val="51"/>
    <w:pPr>
      <w:spacing w:after="0" w:line="240" w:lineRule="auto"/>
    </w:pPr>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character" w:customStyle="1" w:styleId="40">
    <w:name w:val="Footnote Text Char"/>
    <w:basedOn w:val="24"/>
    <w:link w:val="16"/>
    <w:qFormat/>
    <w:uiPriority w:val="99"/>
    <w:rPr>
      <w:rFonts w:cs="Times New Roman" w:eastAsiaTheme="minorEastAsia"/>
      <w:sz w:val="20"/>
      <w:szCs w:val="20"/>
    </w:rPr>
  </w:style>
  <w:style w:type="paragraph" w:customStyle="1" w:styleId="41">
    <w:name w:val="Bibliography"/>
    <w:basedOn w:val="1"/>
    <w:next w:val="1"/>
    <w:unhideWhenUsed/>
    <w:qFormat/>
    <w:uiPriority w:val="37"/>
    <w:pPr>
      <w:ind w:left="720" w:hanging="720"/>
    </w:p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elete val="1"/>
          </c:dLbls>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Series 2</c:v>
                </c:pt>
              </c:strCache>
            </c:strRef>
          </c:tx>
          <c:spPr>
            <a:solidFill>
              <a:schemeClr val="accent2"/>
            </a:solidFill>
            <a:ln>
              <a:noFill/>
            </a:ln>
            <a:effectLst/>
          </c:spPr>
          <c:invertIfNegative val="0"/>
          <c:dLbls>
            <c:delete val="1"/>
          </c:dLbls>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c:v>
                </c:pt>
                <c:pt idx="2">
                  <c:v>1.8</c:v>
                </c:pt>
                <c:pt idx="3">
                  <c:v>2.8</c:v>
                </c:pt>
              </c:numCache>
            </c:numRef>
          </c:val>
        </c:ser>
        <c:ser>
          <c:idx val="2"/>
          <c:order val="2"/>
          <c:tx>
            <c:strRef>
              <c:f>Sheet1!$D$1</c:f>
              <c:strCache>
                <c:ptCount val="1"/>
                <c:pt idx="0">
                  <c:v>Series 3</c:v>
                </c:pt>
              </c:strCache>
            </c:strRef>
          </c:tx>
          <c:spPr>
            <a:solidFill>
              <a:schemeClr val="accent3"/>
            </a:solidFill>
            <a:ln>
              <a:noFill/>
            </a:ln>
            <a:effectLst/>
          </c:spPr>
          <c:invertIfNegative val="0"/>
          <c:dLbls>
            <c:delete val="1"/>
          </c:dLbls>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219"/>
        <c:overlap val="-27"/>
        <c:axId val="553884152"/>
        <c:axId val="553882840"/>
      </c:barChart>
      <c:catAx>
        <c:axId val="553884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882840"/>
        <c:crosses val="autoZero"/>
        <c:auto val="1"/>
        <c:lblAlgn val="ctr"/>
        <c:lblOffset val="100"/>
        <c:noMultiLvlLbl val="0"/>
      </c:catAx>
      <c:valAx>
        <c:axId val="553882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8841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elete val="1"/>
          </c:dLbls>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Series 2</c:v>
                </c:pt>
              </c:strCache>
            </c:strRef>
          </c:tx>
          <c:spPr>
            <a:solidFill>
              <a:schemeClr val="accent2"/>
            </a:solidFill>
            <a:ln>
              <a:noFill/>
            </a:ln>
            <a:effectLst/>
          </c:spPr>
          <c:invertIfNegative val="0"/>
          <c:dLbls>
            <c:delete val="1"/>
          </c:dLbls>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c:v>
                </c:pt>
                <c:pt idx="2">
                  <c:v>1.8</c:v>
                </c:pt>
                <c:pt idx="3">
                  <c:v>2.8</c:v>
                </c:pt>
              </c:numCache>
            </c:numRef>
          </c:val>
        </c:ser>
        <c:ser>
          <c:idx val="2"/>
          <c:order val="2"/>
          <c:tx>
            <c:strRef>
              <c:f>Sheet1!$D$1</c:f>
              <c:strCache>
                <c:ptCount val="1"/>
                <c:pt idx="0">
                  <c:v>Series 3</c:v>
                </c:pt>
              </c:strCache>
            </c:strRef>
          </c:tx>
          <c:spPr>
            <a:solidFill>
              <a:schemeClr val="accent3"/>
            </a:solidFill>
            <a:ln>
              <a:noFill/>
            </a:ln>
            <a:effectLst/>
          </c:spPr>
          <c:invertIfNegative val="0"/>
          <c:dLbls>
            <c:delete val="1"/>
          </c:dLbls>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219"/>
        <c:overlap val="-27"/>
        <c:axId val="553884152"/>
        <c:axId val="553882840"/>
      </c:barChart>
      <c:catAx>
        <c:axId val="553884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882840"/>
        <c:crosses val="autoZero"/>
        <c:auto val="1"/>
        <c:lblAlgn val="ctr"/>
        <c:lblOffset val="100"/>
        <c:noMultiLvlLbl val="0"/>
      </c:catAx>
      <c:valAx>
        <c:axId val="553882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8841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elete val="1"/>
          </c:dLbls>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Series 2</c:v>
                </c:pt>
              </c:strCache>
            </c:strRef>
          </c:tx>
          <c:spPr>
            <a:solidFill>
              <a:schemeClr val="accent2"/>
            </a:solidFill>
            <a:ln>
              <a:noFill/>
            </a:ln>
            <a:effectLst/>
          </c:spPr>
          <c:invertIfNegative val="0"/>
          <c:dLbls>
            <c:delete val="1"/>
          </c:dLbls>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c:v>
                </c:pt>
                <c:pt idx="2">
                  <c:v>1.8</c:v>
                </c:pt>
                <c:pt idx="3">
                  <c:v>2.8</c:v>
                </c:pt>
              </c:numCache>
            </c:numRef>
          </c:val>
        </c:ser>
        <c:ser>
          <c:idx val="2"/>
          <c:order val="2"/>
          <c:tx>
            <c:strRef>
              <c:f>Sheet1!$D$1</c:f>
              <c:strCache>
                <c:ptCount val="1"/>
                <c:pt idx="0">
                  <c:v>Series 3</c:v>
                </c:pt>
              </c:strCache>
            </c:strRef>
          </c:tx>
          <c:spPr>
            <a:solidFill>
              <a:schemeClr val="accent3"/>
            </a:solidFill>
            <a:ln>
              <a:noFill/>
            </a:ln>
            <a:effectLst/>
          </c:spPr>
          <c:invertIfNegative val="0"/>
          <c:dLbls>
            <c:delete val="1"/>
          </c:dLbls>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219"/>
        <c:overlap val="-27"/>
        <c:axId val="553884152"/>
        <c:axId val="553882840"/>
      </c:barChart>
      <c:catAx>
        <c:axId val="553884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882840"/>
        <c:crosses val="autoZero"/>
        <c:auto val="1"/>
        <c:lblAlgn val="ctr"/>
        <c:lblOffset val="100"/>
        <c:noMultiLvlLbl val="0"/>
      </c:catAx>
      <c:valAx>
        <c:axId val="553882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8841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FB407-D46E-4348-9EC5-4E4A7ABBB1F6}">
  <ds:schemaRefs/>
</ds:datastoreItem>
</file>

<file path=docProps/app.xml><?xml version="1.0" encoding="utf-8"?>
<Properties xmlns="http://schemas.openxmlformats.org/officeDocument/2006/extended-properties" xmlns:vt="http://schemas.openxmlformats.org/officeDocument/2006/docPropsVTypes">
  <Template>Normal</Template>
  <Pages>14</Pages>
  <Words>2202</Words>
  <Characters>12148</Characters>
  <Lines>44</Lines>
  <Paragraphs>12</Paragraphs>
  <TotalTime>1</TotalTime>
  <ScaleCrop>false</ScaleCrop>
  <LinksUpToDate>false</LinksUpToDate>
  <CharactersWithSpaces>14288</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2022-04-29T13:28:00Z</dcterms:created>
  <dc:creator>Wouter Scribbr</dc:creator>
  <cp:lastModifiedBy>寒飞子</cp:lastModifiedBy>
  <dcterms:modified xsi:type="dcterms:W3CDTF">2022-07-19T15:36:49Z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81012AE1A298433B8873E0B64497E040</vt:lpwstr>
  </property>
</Properties>
</file>