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Answers:</w:t>
      </w:r>
    </w:p>
    <w:p>
      <w:pPr>
        <w:numPr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Construct a time plot of the quarterly inflation rate data. Make sure that your graph has an informative title and that the axes are labelled.</w:t>
      </w: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numId w:val="0"/>
        </w:num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The quarterly data on the year-over-year inflation rate for the period 1915Q1 to 2022Q1 can be graphed as follows: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2697480"/>
            <wp:effectExtent l="4445" t="4445" r="8890" b="1587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rFonts w:hint="default" w:ascii="Times New Roman" w:hAnsi="Times New Roman" w:cs="Times New Roma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Compute the mean, median, variance, standard deviation, mean absolute deviation, coefficient of variation, minimum, maximum, and range of the quarterly inflation rates for the entire period from 1915Q1 to 2022Q1. 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Using excel functions, the following indicators can be computed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 xml:space="preserve">: </w:t>
      </w:r>
    </w:p>
    <w:p>
      <w:pPr>
        <w:numPr>
          <w:numId w:val="0"/>
        </w:numPr>
        <w:ind w:leftChars="0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Note that periods are from 1915Q1 to 2022Q1 and the unit of mean, median, min, max, and range is in percentage.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728"/>
        <w:gridCol w:w="1521"/>
        <w:gridCol w:w="1711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</w:t>
            </w:r>
          </w:p>
        </w:tc>
        <w:tc>
          <w:tcPr>
            <w:tcW w:w="172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Median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Variance</w:t>
            </w:r>
          </w:p>
        </w:tc>
        <w:tc>
          <w:tcPr>
            <w:tcW w:w="17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172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absolute deviation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3.1</w:t>
            </w:r>
          </w:p>
        </w:tc>
        <w:tc>
          <w:tcPr>
            <w:tcW w:w="172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2.2</w:t>
            </w:r>
          </w:p>
        </w:tc>
        <w:tc>
          <w:tcPr>
            <w:tcW w:w="152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22.82</w:t>
            </w:r>
          </w:p>
        </w:tc>
        <w:tc>
          <w:tcPr>
            <w:tcW w:w="171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4.78</w:t>
            </w:r>
          </w:p>
        </w:tc>
        <w:tc>
          <w:tcPr>
            <w:tcW w:w="1724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3.22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=AVERAGE(B8:B436)</w:t>
            </w:r>
          </w:p>
        </w:tc>
        <w:tc>
          <w:tcPr>
            <w:tcW w:w="172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=MEDIAN(B8:B436)</w:t>
            </w:r>
          </w:p>
        </w:tc>
        <w:tc>
          <w:tcPr>
            <w:tcW w:w="152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=VAR.S(B8:B436)</w:t>
            </w:r>
          </w:p>
        </w:tc>
        <w:tc>
          <w:tcPr>
            <w:tcW w:w="171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=STDEV.S(B8:B436)</w:t>
            </w:r>
          </w:p>
        </w:tc>
        <w:tc>
          <w:tcPr>
            <w:tcW w:w="1724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=AVEDEV(B8:B436)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Coefficient of variation</w:t>
            </w:r>
          </w:p>
        </w:tc>
        <w:tc>
          <w:tcPr>
            <w:tcW w:w="172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Minimum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Maximum</w:t>
            </w:r>
          </w:p>
        </w:tc>
        <w:tc>
          <w:tcPr>
            <w:tcW w:w="17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Range</w:t>
            </w:r>
          </w:p>
        </w:tc>
        <w:tc>
          <w:tcPr>
            <w:tcW w:w="1724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153.50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-16.9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20.5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37.4</w:t>
            </w:r>
          </w:p>
        </w:tc>
        <w:tc>
          <w:tcPr>
            <w:tcW w:w="0" w:type="auto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=Standard deviation/Mean*100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=MIN(B8:B436)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=MAX(B8:B436)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  <w:t>=max-min</w:t>
            </w:r>
          </w:p>
        </w:tc>
        <w:tc>
          <w:tcPr>
            <w:tcW w:w="0" w:type="auto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</w:tbl>
    <w:p>
      <w:pPr>
        <w:numPr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Compute the same descriptive statistics as in part b for the post-1995 period (1996Q1–22Q1).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2"/>
          <w:lang w:val="en-US" w:eastAsia="zh-CN"/>
        </w:rPr>
        <w:t>Using excel functions, the following indicators can be computed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 xml:space="preserve">: 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Note that periods are from 1996Q1 to 2022Q1 and the unit of mean, median, min, max, and range is in percentage.</w:t>
      </w:r>
    </w:p>
    <w:p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725"/>
        <w:gridCol w:w="1540"/>
        <w:gridCol w:w="1710"/>
        <w:gridCol w:w="1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</w:t>
            </w:r>
          </w:p>
        </w:tc>
        <w:tc>
          <w:tcPr>
            <w:tcW w:w="172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Median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Variance</w:t>
            </w:r>
          </w:p>
        </w:tc>
        <w:tc>
          <w:tcPr>
            <w:tcW w:w="17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172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absolute deviation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172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152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171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172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=AVERAGE(B332:B436)</w:t>
            </w:r>
          </w:p>
        </w:tc>
        <w:tc>
          <w:tcPr>
            <w:tcW w:w="1728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=MEDIAN(B332:B436)</w:t>
            </w:r>
          </w:p>
        </w:tc>
        <w:tc>
          <w:tcPr>
            <w:tcW w:w="152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=VAR.S(B332:B436)</w:t>
            </w:r>
          </w:p>
        </w:tc>
        <w:tc>
          <w:tcPr>
            <w:tcW w:w="1711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=STDEV.S(B332:B436)</w:t>
            </w:r>
          </w:p>
        </w:tc>
        <w:tc>
          <w:tcPr>
            <w:tcW w:w="1724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=AVEDEV(B332:B436)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Coefficient of variation</w:t>
            </w:r>
          </w:p>
        </w:tc>
        <w:tc>
          <w:tcPr>
            <w:tcW w:w="172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Minimum</w:t>
            </w:r>
          </w:p>
        </w:tc>
        <w:tc>
          <w:tcPr>
            <w:tcW w:w="152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Maximum</w:t>
            </w:r>
          </w:p>
        </w:tc>
        <w:tc>
          <w:tcPr>
            <w:tcW w:w="17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Range</w:t>
            </w:r>
          </w:p>
        </w:tc>
        <w:tc>
          <w:tcPr>
            <w:tcW w:w="1724" w:type="dxa"/>
            <w:vAlign w:val="bottom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51.20</w:t>
            </w:r>
          </w:p>
        </w:tc>
        <w:tc>
          <w:tcPr>
            <w:tcW w:w="172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</w:t>
            </w:r>
          </w:p>
        </w:tc>
        <w:tc>
          <w:tcPr>
            <w:tcW w:w="152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171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0" w:type="auto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=Standard deviation/Mean*100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=MIN(B332:B436)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=MAX(B332:B436)</w:t>
            </w:r>
          </w:p>
        </w:tc>
        <w:tc>
          <w:tcPr>
            <w:tcW w:w="0" w:type="auto"/>
            <w:vAlign w:val="bottom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  <w:t>=max-min</w:t>
            </w:r>
          </w:p>
        </w:tc>
        <w:tc>
          <w:tcPr>
            <w:tcW w:w="0" w:type="auto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sz w:val="20"/>
                <w:szCs w:val="22"/>
                <w:lang w:val="en-US" w:eastAsia="zh-CN"/>
              </w:rPr>
            </w:pPr>
          </w:p>
        </w:tc>
      </w:tr>
    </w:tbl>
    <w:p>
      <w:pPr>
        <w:numPr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Suppose that you work for BMO Economics and have been asked to prepare a brief report that places the current rate of inflation in historical perspective, as well as the extent to which the Bank of Canada has been successful in meeting its self-imposed inflation target. Your report should discuss all of the calculations and graphs of parts a-c.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The rates of inflation after 1996Q1 have been low and less volatile compared to historical data. Historically, the inflation rates have a high mean of 3.1% and a quite large range of 37.4%. However, the inflation rates from 2021Q2 to 2022Q1 have been exceptionally high due to the economic shock brought by the pandemic.</w:t>
      </w:r>
    </w:p>
    <w:p>
      <w:pPr>
        <w:widowControl w:val="0"/>
        <w:numPr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lang w:val="en-US" w:eastAsia="zh-CN"/>
        </w:rPr>
        <w:t>Given the statistics, t</w:t>
      </w:r>
      <w:r>
        <w:rPr>
          <w:rFonts w:hint="default" w:ascii="Times New Roman" w:hAnsi="Times New Roman" w:cs="Times New Roman"/>
          <w:lang w:val="en-US" w:eastAsia="zh-CN"/>
        </w:rPr>
        <w:t>he Bank of Canada has been successful in meeting its self-imposed inflation target</w:t>
      </w:r>
      <w:r>
        <w:rPr>
          <w:rFonts w:hint="eastAsia" w:ascii="Times New Roman" w:hAnsi="Times New Roman" w:cs="Times New Roman"/>
          <w:lang w:val="en-US" w:eastAsia="zh-CN"/>
        </w:rPr>
        <w:t xml:space="preserve">. The mean and the median of inflation rates after 1996Q1 is 1.9% and 1.8% respectively, which is quite close to 2.0%. Moreover, the standard deviation, which measures the dispersion of inflation data relative to the mean, is only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0.98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, which by 3-Sigma policy indicates that 99.7% of data will fall in the range of 1.6% to 2.2%. Besides, Mean absolute deviation shows that on average, the distance between each data value and the mean is only 0.71%.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Coefficient of variation is smaller than before, indicating a lower degree of dispersion. Thus, the current inflation rates are quite stable.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205B52"/>
    <w:multiLevelType w:val="multilevel"/>
    <w:tmpl w:val="ED205B52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6057E003"/>
    <w:multiLevelType w:val="singleLevel"/>
    <w:tmpl w:val="6057E003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706CB"/>
    <w:rsid w:val="0A7706CB"/>
    <w:rsid w:val="67511F87"/>
    <w:rsid w:val="7252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F:\ChromeDownload\Inflation_June_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>
                <a:latin typeface="Arial" panose="020B0604020202020204" pitchFamily="7" charset="0"/>
                <a:cs typeface="Arial" panose="020B0604020202020204" pitchFamily="7" charset="0"/>
              </a:rPr>
              <a:t>Q</a:t>
            </a:r>
            <a:r>
              <a:rPr>
                <a:latin typeface="Arial" panose="020B0604020202020204" pitchFamily="7" charset="0"/>
                <a:cs typeface="Arial" panose="020B0604020202020204" pitchFamily="7" charset="0"/>
              </a:rPr>
              <a:t>uarterly</a:t>
            </a:r>
            <a:r>
              <a:rPr lang="en-US" altLang="zh-CN">
                <a:latin typeface="Arial" panose="020B0604020202020204" pitchFamily="7" charset="0"/>
                <a:cs typeface="Arial" panose="020B0604020202020204" pitchFamily="7" charset="0"/>
              </a:rPr>
              <a:t> </a:t>
            </a:r>
            <a:r>
              <a:rPr>
                <a:latin typeface="Arial" panose="020B0604020202020204" pitchFamily="7" charset="0"/>
                <a:cs typeface="Arial" panose="020B0604020202020204" pitchFamily="7" charset="0"/>
              </a:rPr>
              <a:t>inflation rate for the period 1915Q1 to 2022Q1</a:t>
            </a:r>
            <a:endParaRPr>
              <a:latin typeface="Arial" panose="020B0604020202020204" pitchFamily="7" charset="0"/>
              <a:cs typeface="Arial" panose="020B0604020202020204" pitchFamily="7" charset="0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874836686699765"/>
          <c:y val="0.258855885588559"/>
          <c:w val="0.85738176117063"/>
          <c:h val="0.608338833883388"/>
        </c:manualLayout>
      </c:layout>
      <c:lineChart>
        <c:grouping val="standard"/>
        <c:varyColors val="0"/>
        <c:ser>
          <c:idx val="0"/>
          <c:order val="0"/>
          <c:tx>
            <c:strRef>
              <c:f>'[Inflation_June_2022.xlsx]Data Q1'!$B$6</c:f>
              <c:strCache>
                <c:ptCount val="1"/>
                <c:pt idx="0">
                  <c:v>Inflation rate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'[Inflation_June_2022.xlsx]Data Q1'!$A$7:$A$436</c:f>
              <c:strCache>
                <c:ptCount val="430"/>
                <c:pt idx="1">
                  <c:v>1915Q1</c:v>
                </c:pt>
                <c:pt idx="2">
                  <c:v>1915Q2</c:v>
                </c:pt>
                <c:pt idx="3">
                  <c:v>1915Q3</c:v>
                </c:pt>
                <c:pt idx="4">
                  <c:v>1915Q4</c:v>
                </c:pt>
                <c:pt idx="5">
                  <c:v>1916Q1</c:v>
                </c:pt>
                <c:pt idx="6">
                  <c:v>1916Q2</c:v>
                </c:pt>
                <c:pt idx="7">
                  <c:v>1916Q3</c:v>
                </c:pt>
                <c:pt idx="8">
                  <c:v>1916Q4</c:v>
                </c:pt>
                <c:pt idx="9">
                  <c:v>1917Q1</c:v>
                </c:pt>
                <c:pt idx="10">
                  <c:v>1917Q2</c:v>
                </c:pt>
                <c:pt idx="11">
                  <c:v>1917Q3</c:v>
                </c:pt>
                <c:pt idx="12">
                  <c:v>1917Q4</c:v>
                </c:pt>
                <c:pt idx="13">
                  <c:v>1918Q1</c:v>
                </c:pt>
                <c:pt idx="14">
                  <c:v>1918Q2</c:v>
                </c:pt>
                <c:pt idx="15">
                  <c:v>1918Q3</c:v>
                </c:pt>
                <c:pt idx="16">
                  <c:v>1918Q4</c:v>
                </c:pt>
                <c:pt idx="17">
                  <c:v>1919Q1</c:v>
                </c:pt>
                <c:pt idx="18">
                  <c:v>1919Q2</c:v>
                </c:pt>
                <c:pt idx="19">
                  <c:v>1919Q3</c:v>
                </c:pt>
                <c:pt idx="20">
                  <c:v>1919Q4</c:v>
                </c:pt>
                <c:pt idx="21">
                  <c:v>1920Q1</c:v>
                </c:pt>
                <c:pt idx="22">
                  <c:v>1920Q2</c:v>
                </c:pt>
                <c:pt idx="23">
                  <c:v>1920Q3</c:v>
                </c:pt>
                <c:pt idx="24">
                  <c:v>1920Q4</c:v>
                </c:pt>
                <c:pt idx="25">
                  <c:v>1921Q1</c:v>
                </c:pt>
                <c:pt idx="26">
                  <c:v>1921Q2</c:v>
                </c:pt>
                <c:pt idx="27">
                  <c:v>1921Q3</c:v>
                </c:pt>
                <c:pt idx="28">
                  <c:v>1921Q4</c:v>
                </c:pt>
                <c:pt idx="29">
                  <c:v>1922Q1</c:v>
                </c:pt>
                <c:pt idx="30">
                  <c:v>1922Q2</c:v>
                </c:pt>
                <c:pt idx="31">
                  <c:v>1922Q3</c:v>
                </c:pt>
                <c:pt idx="32">
                  <c:v>1922Q4</c:v>
                </c:pt>
                <c:pt idx="33">
                  <c:v>1923Q1</c:v>
                </c:pt>
                <c:pt idx="34">
                  <c:v>1923Q2</c:v>
                </c:pt>
                <c:pt idx="35">
                  <c:v>1923Q3</c:v>
                </c:pt>
                <c:pt idx="36">
                  <c:v>1923Q4</c:v>
                </c:pt>
                <c:pt idx="37">
                  <c:v>1924Q1</c:v>
                </c:pt>
                <c:pt idx="38">
                  <c:v>1924Q2</c:v>
                </c:pt>
                <c:pt idx="39">
                  <c:v>1924Q3</c:v>
                </c:pt>
                <c:pt idx="40">
                  <c:v>1924Q4</c:v>
                </c:pt>
                <c:pt idx="41">
                  <c:v>1925Q1</c:v>
                </c:pt>
                <c:pt idx="42">
                  <c:v>1925Q2</c:v>
                </c:pt>
                <c:pt idx="43">
                  <c:v>1925Q3</c:v>
                </c:pt>
                <c:pt idx="44">
                  <c:v>1925Q4</c:v>
                </c:pt>
                <c:pt idx="45">
                  <c:v>1926Q1</c:v>
                </c:pt>
                <c:pt idx="46">
                  <c:v>1926Q2</c:v>
                </c:pt>
                <c:pt idx="47">
                  <c:v>1926Q3</c:v>
                </c:pt>
                <c:pt idx="48">
                  <c:v>1926Q4</c:v>
                </c:pt>
                <c:pt idx="49">
                  <c:v>1927Q1</c:v>
                </c:pt>
                <c:pt idx="50">
                  <c:v>1927Q2</c:v>
                </c:pt>
                <c:pt idx="51">
                  <c:v>1927Q3</c:v>
                </c:pt>
                <c:pt idx="52">
                  <c:v>1927Q4</c:v>
                </c:pt>
                <c:pt idx="53">
                  <c:v>1928Q1</c:v>
                </c:pt>
                <c:pt idx="54">
                  <c:v>1928Q2</c:v>
                </c:pt>
                <c:pt idx="55">
                  <c:v>1928Q3</c:v>
                </c:pt>
                <c:pt idx="56">
                  <c:v>1928Q4</c:v>
                </c:pt>
                <c:pt idx="57">
                  <c:v>1929Q1</c:v>
                </c:pt>
                <c:pt idx="58">
                  <c:v>1929Q2</c:v>
                </c:pt>
                <c:pt idx="59">
                  <c:v>1929Q3</c:v>
                </c:pt>
                <c:pt idx="60">
                  <c:v>1929Q4</c:v>
                </c:pt>
                <c:pt idx="61">
                  <c:v>1930Q1</c:v>
                </c:pt>
                <c:pt idx="62">
                  <c:v>1930Q2</c:v>
                </c:pt>
                <c:pt idx="63">
                  <c:v>1930Q3</c:v>
                </c:pt>
                <c:pt idx="64">
                  <c:v>1930Q4</c:v>
                </c:pt>
                <c:pt idx="65">
                  <c:v>1931Q1</c:v>
                </c:pt>
                <c:pt idx="66">
                  <c:v>1931Q2</c:v>
                </c:pt>
                <c:pt idx="67">
                  <c:v>1931Q3</c:v>
                </c:pt>
                <c:pt idx="68">
                  <c:v>1931Q4</c:v>
                </c:pt>
                <c:pt idx="69">
                  <c:v>1932Q1</c:v>
                </c:pt>
                <c:pt idx="70">
                  <c:v>1932Q2</c:v>
                </c:pt>
                <c:pt idx="71">
                  <c:v>1932Q3</c:v>
                </c:pt>
                <c:pt idx="72">
                  <c:v>1932Q4</c:v>
                </c:pt>
                <c:pt idx="73">
                  <c:v>1933Q1</c:v>
                </c:pt>
                <c:pt idx="74">
                  <c:v>1933Q2</c:v>
                </c:pt>
                <c:pt idx="75">
                  <c:v>1933Q3</c:v>
                </c:pt>
                <c:pt idx="76">
                  <c:v>1933Q4</c:v>
                </c:pt>
                <c:pt idx="77">
                  <c:v>1934Q1</c:v>
                </c:pt>
                <c:pt idx="78">
                  <c:v>1934Q2</c:v>
                </c:pt>
                <c:pt idx="79">
                  <c:v>1934Q3</c:v>
                </c:pt>
                <c:pt idx="80">
                  <c:v>1934Q4</c:v>
                </c:pt>
                <c:pt idx="81">
                  <c:v>1935Q1</c:v>
                </c:pt>
                <c:pt idx="82">
                  <c:v>1935Q2</c:v>
                </c:pt>
                <c:pt idx="83">
                  <c:v>1935Q3</c:v>
                </c:pt>
                <c:pt idx="84">
                  <c:v>1935Q4</c:v>
                </c:pt>
                <c:pt idx="85">
                  <c:v>1936Q1</c:v>
                </c:pt>
                <c:pt idx="86">
                  <c:v>1936Q2</c:v>
                </c:pt>
                <c:pt idx="87">
                  <c:v>1936Q3</c:v>
                </c:pt>
                <c:pt idx="88">
                  <c:v>1936Q4</c:v>
                </c:pt>
                <c:pt idx="89">
                  <c:v>1937Q1</c:v>
                </c:pt>
                <c:pt idx="90">
                  <c:v>1937Q2</c:v>
                </c:pt>
                <c:pt idx="91">
                  <c:v>1937Q3</c:v>
                </c:pt>
                <c:pt idx="92">
                  <c:v>1937Q4</c:v>
                </c:pt>
                <c:pt idx="93">
                  <c:v>1938Q1</c:v>
                </c:pt>
                <c:pt idx="94">
                  <c:v>1938Q2</c:v>
                </c:pt>
                <c:pt idx="95">
                  <c:v>1938Q3</c:v>
                </c:pt>
                <c:pt idx="96">
                  <c:v>1938Q4</c:v>
                </c:pt>
                <c:pt idx="97">
                  <c:v>1939Q1</c:v>
                </c:pt>
                <c:pt idx="98">
                  <c:v>1939Q2</c:v>
                </c:pt>
                <c:pt idx="99">
                  <c:v>1939Q3</c:v>
                </c:pt>
                <c:pt idx="100">
                  <c:v>1939Q4</c:v>
                </c:pt>
                <c:pt idx="101">
                  <c:v>1940Q1</c:v>
                </c:pt>
                <c:pt idx="102">
                  <c:v>1940Q2</c:v>
                </c:pt>
                <c:pt idx="103">
                  <c:v>1940Q3</c:v>
                </c:pt>
                <c:pt idx="104">
                  <c:v>1940Q4</c:v>
                </c:pt>
                <c:pt idx="105">
                  <c:v>1941Q1</c:v>
                </c:pt>
                <c:pt idx="106">
                  <c:v>1941Q2</c:v>
                </c:pt>
                <c:pt idx="107">
                  <c:v>1941Q3</c:v>
                </c:pt>
                <c:pt idx="108">
                  <c:v>1941Q4</c:v>
                </c:pt>
                <c:pt idx="109">
                  <c:v>1942Q1</c:v>
                </c:pt>
                <c:pt idx="110">
                  <c:v>1942Q2</c:v>
                </c:pt>
                <c:pt idx="111">
                  <c:v>1942Q3</c:v>
                </c:pt>
                <c:pt idx="112">
                  <c:v>1942Q4</c:v>
                </c:pt>
                <c:pt idx="113">
                  <c:v>1943Q1</c:v>
                </c:pt>
                <c:pt idx="114">
                  <c:v>1943Q2</c:v>
                </c:pt>
                <c:pt idx="115">
                  <c:v>1943Q3</c:v>
                </c:pt>
                <c:pt idx="116">
                  <c:v>1943Q4</c:v>
                </c:pt>
                <c:pt idx="117">
                  <c:v>1944Q1</c:v>
                </c:pt>
                <c:pt idx="118">
                  <c:v>1944Q2</c:v>
                </c:pt>
                <c:pt idx="119">
                  <c:v>1944Q3</c:v>
                </c:pt>
                <c:pt idx="120">
                  <c:v>1944Q4</c:v>
                </c:pt>
                <c:pt idx="121">
                  <c:v>1945Q1</c:v>
                </c:pt>
                <c:pt idx="122">
                  <c:v>1945Q2</c:v>
                </c:pt>
                <c:pt idx="123">
                  <c:v>1945Q3</c:v>
                </c:pt>
                <c:pt idx="124">
                  <c:v>1945Q4</c:v>
                </c:pt>
                <c:pt idx="125">
                  <c:v>1946Q1</c:v>
                </c:pt>
                <c:pt idx="126">
                  <c:v>1946Q2</c:v>
                </c:pt>
                <c:pt idx="127">
                  <c:v>1946Q3</c:v>
                </c:pt>
                <c:pt idx="128">
                  <c:v>1946Q4</c:v>
                </c:pt>
                <c:pt idx="129">
                  <c:v>1947Q1</c:v>
                </c:pt>
                <c:pt idx="130">
                  <c:v>1947Q2</c:v>
                </c:pt>
                <c:pt idx="131">
                  <c:v>1947Q3</c:v>
                </c:pt>
                <c:pt idx="132">
                  <c:v>1947Q4</c:v>
                </c:pt>
                <c:pt idx="133">
                  <c:v>1948Q1</c:v>
                </c:pt>
                <c:pt idx="134">
                  <c:v>1948Q2</c:v>
                </c:pt>
                <c:pt idx="135">
                  <c:v>1948Q3</c:v>
                </c:pt>
                <c:pt idx="136">
                  <c:v>1948Q4</c:v>
                </c:pt>
                <c:pt idx="137">
                  <c:v>1949Q1</c:v>
                </c:pt>
                <c:pt idx="138">
                  <c:v>1949Q2</c:v>
                </c:pt>
                <c:pt idx="139">
                  <c:v>1949Q3</c:v>
                </c:pt>
                <c:pt idx="140">
                  <c:v>1949Q4</c:v>
                </c:pt>
                <c:pt idx="141">
                  <c:v>1950Q1</c:v>
                </c:pt>
                <c:pt idx="142">
                  <c:v>1950Q2</c:v>
                </c:pt>
                <c:pt idx="143">
                  <c:v>1950Q3</c:v>
                </c:pt>
                <c:pt idx="144">
                  <c:v>1950Q4</c:v>
                </c:pt>
                <c:pt idx="145">
                  <c:v>1951Q1</c:v>
                </c:pt>
                <c:pt idx="146">
                  <c:v>1951Q2</c:v>
                </c:pt>
                <c:pt idx="147">
                  <c:v>1951Q3</c:v>
                </c:pt>
                <c:pt idx="148">
                  <c:v>1951Q4</c:v>
                </c:pt>
                <c:pt idx="149">
                  <c:v>1952Q1</c:v>
                </c:pt>
                <c:pt idx="150">
                  <c:v>1952Q2</c:v>
                </c:pt>
                <c:pt idx="151">
                  <c:v>1952Q3</c:v>
                </c:pt>
                <c:pt idx="152">
                  <c:v>1952Q4</c:v>
                </c:pt>
                <c:pt idx="153">
                  <c:v>1953Q1</c:v>
                </c:pt>
                <c:pt idx="154">
                  <c:v>1953Q2</c:v>
                </c:pt>
                <c:pt idx="155">
                  <c:v>1953Q3</c:v>
                </c:pt>
                <c:pt idx="156">
                  <c:v>1953Q4</c:v>
                </c:pt>
                <c:pt idx="157">
                  <c:v>1954Q1</c:v>
                </c:pt>
                <c:pt idx="158">
                  <c:v>1954Q2</c:v>
                </c:pt>
                <c:pt idx="159">
                  <c:v>1954Q3</c:v>
                </c:pt>
                <c:pt idx="160">
                  <c:v>1954Q4</c:v>
                </c:pt>
                <c:pt idx="161">
                  <c:v>1955Q1</c:v>
                </c:pt>
                <c:pt idx="162">
                  <c:v>1955Q2</c:v>
                </c:pt>
                <c:pt idx="163">
                  <c:v>1955Q3</c:v>
                </c:pt>
                <c:pt idx="164">
                  <c:v>1955Q4</c:v>
                </c:pt>
                <c:pt idx="165">
                  <c:v>1956Q1</c:v>
                </c:pt>
                <c:pt idx="166">
                  <c:v>1956Q2</c:v>
                </c:pt>
                <c:pt idx="167">
                  <c:v>1956Q3</c:v>
                </c:pt>
                <c:pt idx="168">
                  <c:v>1956Q4</c:v>
                </c:pt>
                <c:pt idx="169">
                  <c:v>1957Q1</c:v>
                </c:pt>
                <c:pt idx="170">
                  <c:v>1957Q2</c:v>
                </c:pt>
                <c:pt idx="171">
                  <c:v>1957Q3</c:v>
                </c:pt>
                <c:pt idx="172">
                  <c:v>1957Q4</c:v>
                </c:pt>
                <c:pt idx="173">
                  <c:v>1958Q1</c:v>
                </c:pt>
                <c:pt idx="174">
                  <c:v>1958Q2</c:v>
                </c:pt>
                <c:pt idx="175">
                  <c:v>1958Q3</c:v>
                </c:pt>
                <c:pt idx="176">
                  <c:v>1958Q4</c:v>
                </c:pt>
                <c:pt idx="177">
                  <c:v>1959Q1</c:v>
                </c:pt>
                <c:pt idx="178">
                  <c:v>1959Q2</c:v>
                </c:pt>
                <c:pt idx="179">
                  <c:v>1959Q3</c:v>
                </c:pt>
                <c:pt idx="180">
                  <c:v>1959Q4</c:v>
                </c:pt>
                <c:pt idx="181">
                  <c:v>1960Q1</c:v>
                </c:pt>
                <c:pt idx="182">
                  <c:v>1960Q2</c:v>
                </c:pt>
                <c:pt idx="183">
                  <c:v>1960Q3</c:v>
                </c:pt>
                <c:pt idx="184">
                  <c:v>1960Q4</c:v>
                </c:pt>
                <c:pt idx="185">
                  <c:v>1961Q1</c:v>
                </c:pt>
                <c:pt idx="186">
                  <c:v>1961Q2</c:v>
                </c:pt>
                <c:pt idx="187">
                  <c:v>1961Q3</c:v>
                </c:pt>
                <c:pt idx="188">
                  <c:v>1961Q4</c:v>
                </c:pt>
                <c:pt idx="189">
                  <c:v>1962Q1</c:v>
                </c:pt>
                <c:pt idx="190">
                  <c:v>1962Q2</c:v>
                </c:pt>
                <c:pt idx="191">
                  <c:v>1962Q3</c:v>
                </c:pt>
                <c:pt idx="192">
                  <c:v>1962Q4</c:v>
                </c:pt>
                <c:pt idx="193">
                  <c:v>1963Q1</c:v>
                </c:pt>
                <c:pt idx="194">
                  <c:v>1963Q2</c:v>
                </c:pt>
                <c:pt idx="195">
                  <c:v>1963Q3</c:v>
                </c:pt>
                <c:pt idx="196">
                  <c:v>1963Q4</c:v>
                </c:pt>
                <c:pt idx="197">
                  <c:v>1964Q1</c:v>
                </c:pt>
                <c:pt idx="198">
                  <c:v>1964Q2</c:v>
                </c:pt>
                <c:pt idx="199">
                  <c:v>1964Q3</c:v>
                </c:pt>
                <c:pt idx="200">
                  <c:v>1964Q4</c:v>
                </c:pt>
                <c:pt idx="201">
                  <c:v>1965Q1</c:v>
                </c:pt>
                <c:pt idx="202">
                  <c:v>1965Q2</c:v>
                </c:pt>
                <c:pt idx="203">
                  <c:v>1965Q3</c:v>
                </c:pt>
                <c:pt idx="204">
                  <c:v>1965Q4</c:v>
                </c:pt>
                <c:pt idx="205">
                  <c:v>1966Q1</c:v>
                </c:pt>
                <c:pt idx="206">
                  <c:v>1966Q2</c:v>
                </c:pt>
                <c:pt idx="207">
                  <c:v>1966Q3</c:v>
                </c:pt>
                <c:pt idx="208">
                  <c:v>1966Q4</c:v>
                </c:pt>
                <c:pt idx="209">
                  <c:v>1967Q1</c:v>
                </c:pt>
                <c:pt idx="210">
                  <c:v>1967Q2</c:v>
                </c:pt>
                <c:pt idx="211">
                  <c:v>1967Q3</c:v>
                </c:pt>
                <c:pt idx="212">
                  <c:v>1967Q4</c:v>
                </c:pt>
                <c:pt idx="213">
                  <c:v>1968Q1</c:v>
                </c:pt>
                <c:pt idx="214">
                  <c:v>1968Q2</c:v>
                </c:pt>
                <c:pt idx="215">
                  <c:v>1968Q3</c:v>
                </c:pt>
                <c:pt idx="216">
                  <c:v>1968Q4</c:v>
                </c:pt>
                <c:pt idx="217">
                  <c:v>1969Q1</c:v>
                </c:pt>
                <c:pt idx="218">
                  <c:v>1969Q2</c:v>
                </c:pt>
                <c:pt idx="219">
                  <c:v>1969Q3</c:v>
                </c:pt>
                <c:pt idx="220">
                  <c:v>1969Q4</c:v>
                </c:pt>
                <c:pt idx="221">
                  <c:v>1970Q1</c:v>
                </c:pt>
                <c:pt idx="222">
                  <c:v>1970Q2</c:v>
                </c:pt>
                <c:pt idx="223">
                  <c:v>1970Q3</c:v>
                </c:pt>
                <c:pt idx="224">
                  <c:v>1970Q4</c:v>
                </c:pt>
                <c:pt idx="225">
                  <c:v>1971Q1</c:v>
                </c:pt>
                <c:pt idx="226">
                  <c:v>1971Q2</c:v>
                </c:pt>
                <c:pt idx="227">
                  <c:v>1971Q3</c:v>
                </c:pt>
                <c:pt idx="228">
                  <c:v>1971Q4</c:v>
                </c:pt>
                <c:pt idx="229">
                  <c:v>1972Q1</c:v>
                </c:pt>
                <c:pt idx="230">
                  <c:v>1972Q2</c:v>
                </c:pt>
                <c:pt idx="231">
                  <c:v>1972Q3</c:v>
                </c:pt>
                <c:pt idx="232">
                  <c:v>1972Q4</c:v>
                </c:pt>
                <c:pt idx="233">
                  <c:v>1973Q1</c:v>
                </c:pt>
                <c:pt idx="234">
                  <c:v>1973Q2</c:v>
                </c:pt>
                <c:pt idx="235">
                  <c:v>1973Q3</c:v>
                </c:pt>
                <c:pt idx="236">
                  <c:v>1973Q4</c:v>
                </c:pt>
                <c:pt idx="237">
                  <c:v>1974Q1</c:v>
                </c:pt>
                <c:pt idx="238">
                  <c:v>1974Q2</c:v>
                </c:pt>
                <c:pt idx="239">
                  <c:v>1974Q3</c:v>
                </c:pt>
                <c:pt idx="240">
                  <c:v>1974Q4</c:v>
                </c:pt>
                <c:pt idx="241">
                  <c:v>1975Q1</c:v>
                </c:pt>
                <c:pt idx="242">
                  <c:v>1975Q2</c:v>
                </c:pt>
                <c:pt idx="243">
                  <c:v>1975Q3</c:v>
                </c:pt>
                <c:pt idx="244">
                  <c:v>1975Q4</c:v>
                </c:pt>
                <c:pt idx="245">
                  <c:v>1976Q1</c:v>
                </c:pt>
                <c:pt idx="246">
                  <c:v>1976Q2</c:v>
                </c:pt>
                <c:pt idx="247">
                  <c:v>1976Q3</c:v>
                </c:pt>
                <c:pt idx="248">
                  <c:v>1976Q4</c:v>
                </c:pt>
                <c:pt idx="249">
                  <c:v>1977Q1</c:v>
                </c:pt>
                <c:pt idx="250">
                  <c:v>1977Q2</c:v>
                </c:pt>
                <c:pt idx="251">
                  <c:v>1977Q3</c:v>
                </c:pt>
                <c:pt idx="252">
                  <c:v>1977Q4</c:v>
                </c:pt>
                <c:pt idx="253">
                  <c:v>1978Q1</c:v>
                </c:pt>
                <c:pt idx="254">
                  <c:v>1978Q2</c:v>
                </c:pt>
                <c:pt idx="255">
                  <c:v>1978Q3</c:v>
                </c:pt>
                <c:pt idx="256">
                  <c:v>1978Q4</c:v>
                </c:pt>
                <c:pt idx="257">
                  <c:v>1979Q1</c:v>
                </c:pt>
                <c:pt idx="258">
                  <c:v>1979Q2</c:v>
                </c:pt>
                <c:pt idx="259">
                  <c:v>1979Q3</c:v>
                </c:pt>
                <c:pt idx="260">
                  <c:v>1979Q4</c:v>
                </c:pt>
                <c:pt idx="261">
                  <c:v>1980Q1</c:v>
                </c:pt>
                <c:pt idx="262">
                  <c:v>1980Q2</c:v>
                </c:pt>
                <c:pt idx="263">
                  <c:v>1980Q3</c:v>
                </c:pt>
                <c:pt idx="264">
                  <c:v>1980Q4</c:v>
                </c:pt>
                <c:pt idx="265">
                  <c:v>1981Q1</c:v>
                </c:pt>
                <c:pt idx="266">
                  <c:v>1981Q2</c:v>
                </c:pt>
                <c:pt idx="267">
                  <c:v>1981Q3</c:v>
                </c:pt>
                <c:pt idx="268">
                  <c:v>1981Q4</c:v>
                </c:pt>
                <c:pt idx="269">
                  <c:v>1982Q1</c:v>
                </c:pt>
                <c:pt idx="270">
                  <c:v>1982Q2</c:v>
                </c:pt>
                <c:pt idx="271">
                  <c:v>1982Q3</c:v>
                </c:pt>
                <c:pt idx="272">
                  <c:v>1982Q4</c:v>
                </c:pt>
                <c:pt idx="273">
                  <c:v>1983Q1</c:v>
                </c:pt>
                <c:pt idx="274">
                  <c:v>1983Q2</c:v>
                </c:pt>
                <c:pt idx="275">
                  <c:v>1983Q3</c:v>
                </c:pt>
                <c:pt idx="276">
                  <c:v>1983Q4</c:v>
                </c:pt>
                <c:pt idx="277">
                  <c:v>1984Q1</c:v>
                </c:pt>
                <c:pt idx="278">
                  <c:v>1984Q2</c:v>
                </c:pt>
                <c:pt idx="279">
                  <c:v>1984Q3</c:v>
                </c:pt>
                <c:pt idx="280">
                  <c:v>1984Q4</c:v>
                </c:pt>
                <c:pt idx="281">
                  <c:v>1985Q1</c:v>
                </c:pt>
                <c:pt idx="282">
                  <c:v>1985Q2</c:v>
                </c:pt>
                <c:pt idx="283">
                  <c:v>1985Q3</c:v>
                </c:pt>
                <c:pt idx="284">
                  <c:v>1985Q4</c:v>
                </c:pt>
                <c:pt idx="285">
                  <c:v>1986Q1</c:v>
                </c:pt>
                <c:pt idx="286">
                  <c:v>1986Q2</c:v>
                </c:pt>
                <c:pt idx="287">
                  <c:v>1986Q3</c:v>
                </c:pt>
                <c:pt idx="288">
                  <c:v>1986Q4</c:v>
                </c:pt>
                <c:pt idx="289">
                  <c:v>1987Q1</c:v>
                </c:pt>
                <c:pt idx="290">
                  <c:v>1987Q2</c:v>
                </c:pt>
                <c:pt idx="291">
                  <c:v>1987Q3</c:v>
                </c:pt>
                <c:pt idx="292">
                  <c:v>1987Q4</c:v>
                </c:pt>
                <c:pt idx="293">
                  <c:v>1988Q1</c:v>
                </c:pt>
                <c:pt idx="294">
                  <c:v>1988Q2</c:v>
                </c:pt>
                <c:pt idx="295">
                  <c:v>1988Q3</c:v>
                </c:pt>
                <c:pt idx="296">
                  <c:v>1988Q4</c:v>
                </c:pt>
                <c:pt idx="297">
                  <c:v>1989Q1</c:v>
                </c:pt>
                <c:pt idx="298">
                  <c:v>1989Q2</c:v>
                </c:pt>
                <c:pt idx="299">
                  <c:v>1989Q3</c:v>
                </c:pt>
                <c:pt idx="300">
                  <c:v>1989Q4</c:v>
                </c:pt>
                <c:pt idx="301">
                  <c:v>1990Q1</c:v>
                </c:pt>
                <c:pt idx="302">
                  <c:v>1990Q2</c:v>
                </c:pt>
                <c:pt idx="303">
                  <c:v>1990Q3</c:v>
                </c:pt>
                <c:pt idx="304">
                  <c:v>1990Q4</c:v>
                </c:pt>
                <c:pt idx="305">
                  <c:v>1991Q1</c:v>
                </c:pt>
                <c:pt idx="306">
                  <c:v>1991Q2</c:v>
                </c:pt>
                <c:pt idx="307">
                  <c:v>1991Q3</c:v>
                </c:pt>
                <c:pt idx="308">
                  <c:v>1991Q4</c:v>
                </c:pt>
                <c:pt idx="309">
                  <c:v>1992Q1</c:v>
                </c:pt>
                <c:pt idx="310">
                  <c:v>1992Q2</c:v>
                </c:pt>
                <c:pt idx="311">
                  <c:v>1992Q3</c:v>
                </c:pt>
                <c:pt idx="312">
                  <c:v>1992Q4</c:v>
                </c:pt>
                <c:pt idx="313">
                  <c:v>1993Q1</c:v>
                </c:pt>
                <c:pt idx="314">
                  <c:v>1993Q2</c:v>
                </c:pt>
                <c:pt idx="315">
                  <c:v>1993Q3</c:v>
                </c:pt>
                <c:pt idx="316">
                  <c:v>1993Q4</c:v>
                </c:pt>
                <c:pt idx="317">
                  <c:v>1994Q1</c:v>
                </c:pt>
                <c:pt idx="318">
                  <c:v>1994Q2</c:v>
                </c:pt>
                <c:pt idx="319">
                  <c:v>1994Q3</c:v>
                </c:pt>
                <c:pt idx="320">
                  <c:v>1994Q4</c:v>
                </c:pt>
                <c:pt idx="321">
                  <c:v>1995Q1</c:v>
                </c:pt>
                <c:pt idx="322">
                  <c:v>1995Q2</c:v>
                </c:pt>
                <c:pt idx="323">
                  <c:v>1995Q3</c:v>
                </c:pt>
                <c:pt idx="324">
                  <c:v>1995Q4</c:v>
                </c:pt>
                <c:pt idx="325">
                  <c:v>1996Q1</c:v>
                </c:pt>
                <c:pt idx="326">
                  <c:v>1996Q2</c:v>
                </c:pt>
                <c:pt idx="327">
                  <c:v>1996Q3</c:v>
                </c:pt>
                <c:pt idx="328">
                  <c:v>1996Q4</c:v>
                </c:pt>
                <c:pt idx="329">
                  <c:v>1997Q1</c:v>
                </c:pt>
                <c:pt idx="330">
                  <c:v>1997Q2</c:v>
                </c:pt>
                <c:pt idx="331">
                  <c:v>1997Q3</c:v>
                </c:pt>
                <c:pt idx="332">
                  <c:v>1997Q4</c:v>
                </c:pt>
                <c:pt idx="333">
                  <c:v>1998Q1</c:v>
                </c:pt>
                <c:pt idx="334">
                  <c:v>1998Q2</c:v>
                </c:pt>
                <c:pt idx="335">
                  <c:v>1998Q3</c:v>
                </c:pt>
                <c:pt idx="336">
                  <c:v>1998Q4</c:v>
                </c:pt>
                <c:pt idx="337">
                  <c:v>1999Q1</c:v>
                </c:pt>
                <c:pt idx="338">
                  <c:v>1999Q2</c:v>
                </c:pt>
                <c:pt idx="339">
                  <c:v>1999Q3</c:v>
                </c:pt>
                <c:pt idx="340">
                  <c:v>1999Q4</c:v>
                </c:pt>
                <c:pt idx="341">
                  <c:v>2000Q1</c:v>
                </c:pt>
                <c:pt idx="342">
                  <c:v>2000Q2</c:v>
                </c:pt>
                <c:pt idx="343">
                  <c:v>2000Q3</c:v>
                </c:pt>
                <c:pt idx="344">
                  <c:v>2000Q4</c:v>
                </c:pt>
                <c:pt idx="345">
                  <c:v>2001Q1</c:v>
                </c:pt>
                <c:pt idx="346">
                  <c:v>2001Q2</c:v>
                </c:pt>
                <c:pt idx="347">
                  <c:v>2001Q3</c:v>
                </c:pt>
                <c:pt idx="348">
                  <c:v>2001Q4</c:v>
                </c:pt>
                <c:pt idx="349">
                  <c:v>2002Q1</c:v>
                </c:pt>
                <c:pt idx="350">
                  <c:v>2002Q2</c:v>
                </c:pt>
                <c:pt idx="351">
                  <c:v>2002Q3</c:v>
                </c:pt>
                <c:pt idx="352">
                  <c:v>2002Q4</c:v>
                </c:pt>
                <c:pt idx="353">
                  <c:v>2003Q1</c:v>
                </c:pt>
                <c:pt idx="354">
                  <c:v>2003Q2</c:v>
                </c:pt>
                <c:pt idx="355">
                  <c:v>2003Q3</c:v>
                </c:pt>
                <c:pt idx="356">
                  <c:v>2003Q4</c:v>
                </c:pt>
                <c:pt idx="357">
                  <c:v>2004Q1</c:v>
                </c:pt>
                <c:pt idx="358">
                  <c:v>2004Q2</c:v>
                </c:pt>
                <c:pt idx="359">
                  <c:v>2004Q3</c:v>
                </c:pt>
                <c:pt idx="360">
                  <c:v>2004Q4</c:v>
                </c:pt>
                <c:pt idx="361">
                  <c:v>2005Q1</c:v>
                </c:pt>
                <c:pt idx="362">
                  <c:v>2005Q2</c:v>
                </c:pt>
                <c:pt idx="363">
                  <c:v>2005Q3</c:v>
                </c:pt>
                <c:pt idx="364">
                  <c:v>2005Q4</c:v>
                </c:pt>
                <c:pt idx="365">
                  <c:v>2006Q1</c:v>
                </c:pt>
                <c:pt idx="366">
                  <c:v>2006Q2</c:v>
                </c:pt>
                <c:pt idx="367">
                  <c:v>2006Q3</c:v>
                </c:pt>
                <c:pt idx="368">
                  <c:v>2006Q4</c:v>
                </c:pt>
                <c:pt idx="369">
                  <c:v>2007Q1</c:v>
                </c:pt>
                <c:pt idx="370">
                  <c:v>2007Q2</c:v>
                </c:pt>
                <c:pt idx="371">
                  <c:v>2007Q3</c:v>
                </c:pt>
                <c:pt idx="372">
                  <c:v>2007Q4</c:v>
                </c:pt>
                <c:pt idx="373">
                  <c:v>2008Q1</c:v>
                </c:pt>
                <c:pt idx="374">
                  <c:v>2008Q2</c:v>
                </c:pt>
                <c:pt idx="375">
                  <c:v>2008Q3</c:v>
                </c:pt>
                <c:pt idx="376">
                  <c:v>2008Q4</c:v>
                </c:pt>
                <c:pt idx="377">
                  <c:v>2009Q1</c:v>
                </c:pt>
                <c:pt idx="378">
                  <c:v>2009Q2</c:v>
                </c:pt>
                <c:pt idx="379">
                  <c:v>2009Q3</c:v>
                </c:pt>
                <c:pt idx="380">
                  <c:v>2009Q4</c:v>
                </c:pt>
                <c:pt idx="381">
                  <c:v>2010Q1</c:v>
                </c:pt>
                <c:pt idx="382">
                  <c:v>2010Q2</c:v>
                </c:pt>
                <c:pt idx="383">
                  <c:v>2010Q3</c:v>
                </c:pt>
                <c:pt idx="384">
                  <c:v>2010Q4</c:v>
                </c:pt>
                <c:pt idx="385">
                  <c:v>2011Q1</c:v>
                </c:pt>
                <c:pt idx="386">
                  <c:v>2011Q2</c:v>
                </c:pt>
                <c:pt idx="387">
                  <c:v>2011Q3</c:v>
                </c:pt>
                <c:pt idx="388">
                  <c:v>2011Q4</c:v>
                </c:pt>
                <c:pt idx="389">
                  <c:v>2012Q1</c:v>
                </c:pt>
                <c:pt idx="390">
                  <c:v>2012Q2</c:v>
                </c:pt>
                <c:pt idx="391">
                  <c:v>2012Q3</c:v>
                </c:pt>
                <c:pt idx="392">
                  <c:v>2012Q4</c:v>
                </c:pt>
                <c:pt idx="393">
                  <c:v>2013Q1</c:v>
                </c:pt>
                <c:pt idx="394">
                  <c:v>2013Q2</c:v>
                </c:pt>
                <c:pt idx="395">
                  <c:v>2013Q3</c:v>
                </c:pt>
                <c:pt idx="396">
                  <c:v>2013Q4</c:v>
                </c:pt>
                <c:pt idx="397">
                  <c:v>2014Q1</c:v>
                </c:pt>
                <c:pt idx="398">
                  <c:v>2014Q2</c:v>
                </c:pt>
                <c:pt idx="399">
                  <c:v>2014Q3</c:v>
                </c:pt>
                <c:pt idx="400">
                  <c:v>2014Q4</c:v>
                </c:pt>
                <c:pt idx="401">
                  <c:v>2015Q1</c:v>
                </c:pt>
                <c:pt idx="402">
                  <c:v>2015Q2</c:v>
                </c:pt>
                <c:pt idx="403">
                  <c:v>2015Q3</c:v>
                </c:pt>
                <c:pt idx="404">
                  <c:v>2015Q4</c:v>
                </c:pt>
                <c:pt idx="405">
                  <c:v>2016Q1</c:v>
                </c:pt>
                <c:pt idx="406">
                  <c:v>2016Q2</c:v>
                </c:pt>
                <c:pt idx="407">
                  <c:v>2016Q3</c:v>
                </c:pt>
                <c:pt idx="408">
                  <c:v>2016Q4</c:v>
                </c:pt>
                <c:pt idx="409">
                  <c:v>2017Q1</c:v>
                </c:pt>
                <c:pt idx="410">
                  <c:v>2017Q2</c:v>
                </c:pt>
                <c:pt idx="411">
                  <c:v>2017Q3</c:v>
                </c:pt>
                <c:pt idx="412">
                  <c:v>2017Q4</c:v>
                </c:pt>
                <c:pt idx="413">
                  <c:v>2018Q1</c:v>
                </c:pt>
                <c:pt idx="414">
                  <c:v>2018Q2</c:v>
                </c:pt>
                <c:pt idx="415">
                  <c:v>2018Q3</c:v>
                </c:pt>
                <c:pt idx="416">
                  <c:v>2018Q4</c:v>
                </c:pt>
                <c:pt idx="417">
                  <c:v>2019Q1</c:v>
                </c:pt>
                <c:pt idx="418">
                  <c:v>2019Q2</c:v>
                </c:pt>
                <c:pt idx="419">
                  <c:v>2019Q3</c:v>
                </c:pt>
                <c:pt idx="420">
                  <c:v>2019Q4</c:v>
                </c:pt>
                <c:pt idx="421">
                  <c:v>2020Q1</c:v>
                </c:pt>
                <c:pt idx="422">
                  <c:v>2020Q2</c:v>
                </c:pt>
                <c:pt idx="423">
                  <c:v>2020Q3</c:v>
                </c:pt>
                <c:pt idx="424">
                  <c:v>2020Q4</c:v>
                </c:pt>
                <c:pt idx="425">
                  <c:v>2021Q1</c:v>
                </c:pt>
                <c:pt idx="426">
                  <c:v>2021Q2</c:v>
                </c:pt>
                <c:pt idx="427">
                  <c:v>2021Q3</c:v>
                </c:pt>
                <c:pt idx="428">
                  <c:v>2021Q4</c:v>
                </c:pt>
                <c:pt idx="429">
                  <c:v>2022Q1</c:v>
                </c:pt>
              </c:strCache>
            </c:strRef>
          </c:cat>
          <c:val>
            <c:numRef>
              <c:f>'[Inflation_June_2022.xlsx]Data Q1'!$B$7:$B$436</c:f>
              <c:numCache>
                <c:formatCode>General</c:formatCode>
                <c:ptCount val="430"/>
                <c:pt idx="1">
                  <c:v>1.7</c:v>
                </c:pt>
                <c:pt idx="2">
                  <c:v>2.2</c:v>
                </c:pt>
                <c:pt idx="3">
                  <c:v>2.2</c:v>
                </c:pt>
                <c:pt idx="4">
                  <c:v>2.1</c:v>
                </c:pt>
                <c:pt idx="5">
                  <c:v>6.1</c:v>
                </c:pt>
                <c:pt idx="6">
                  <c:v>7</c:v>
                </c:pt>
                <c:pt idx="7">
                  <c:v>9.3</c:v>
                </c:pt>
                <c:pt idx="8">
                  <c:v>13.5</c:v>
                </c:pt>
                <c:pt idx="9">
                  <c:v>15.5</c:v>
                </c:pt>
                <c:pt idx="10">
                  <c:v>19.9</c:v>
                </c:pt>
                <c:pt idx="11">
                  <c:v>19.9</c:v>
                </c:pt>
                <c:pt idx="12">
                  <c:v>16.4</c:v>
                </c:pt>
                <c:pt idx="13">
                  <c:v>13.8</c:v>
                </c:pt>
                <c:pt idx="14">
                  <c:v>11.1</c:v>
                </c:pt>
                <c:pt idx="15">
                  <c:v>13.8</c:v>
                </c:pt>
                <c:pt idx="16">
                  <c:v>13.9</c:v>
                </c:pt>
                <c:pt idx="17">
                  <c:v>10.9</c:v>
                </c:pt>
                <c:pt idx="18">
                  <c:v>10.3</c:v>
                </c:pt>
                <c:pt idx="19">
                  <c:v>9.1</c:v>
                </c:pt>
                <c:pt idx="20">
                  <c:v>7.8</c:v>
                </c:pt>
                <c:pt idx="21">
                  <c:v>15.3</c:v>
                </c:pt>
                <c:pt idx="22">
                  <c:v>20.5</c:v>
                </c:pt>
                <c:pt idx="23">
                  <c:v>17.5</c:v>
                </c:pt>
                <c:pt idx="24">
                  <c:v>12.2</c:v>
                </c:pt>
                <c:pt idx="25">
                  <c:v>-0.9</c:v>
                </c:pt>
                <c:pt idx="26">
                  <c:v>-13.8</c:v>
                </c:pt>
                <c:pt idx="27">
                  <c:v>-16.9</c:v>
                </c:pt>
                <c:pt idx="28">
                  <c:v>-16.2</c:v>
                </c:pt>
                <c:pt idx="29">
                  <c:v>-13.6</c:v>
                </c:pt>
                <c:pt idx="30">
                  <c:v>-8.4</c:v>
                </c:pt>
                <c:pt idx="31">
                  <c:v>-5.5</c:v>
                </c:pt>
                <c:pt idx="32">
                  <c:v>-3.2</c:v>
                </c:pt>
                <c:pt idx="33">
                  <c:v>-0.8</c:v>
                </c:pt>
                <c:pt idx="34">
                  <c:v>0.8</c:v>
                </c:pt>
                <c:pt idx="35">
                  <c:v>0</c:v>
                </c:pt>
                <c:pt idx="36">
                  <c:v>0</c:v>
                </c:pt>
                <c:pt idx="37">
                  <c:v>-0.3</c:v>
                </c:pt>
                <c:pt idx="38">
                  <c:v>-3.3</c:v>
                </c:pt>
                <c:pt idx="39">
                  <c:v>-2.6</c:v>
                </c:pt>
                <c:pt idx="40">
                  <c:v>-1.4</c:v>
                </c:pt>
                <c:pt idx="41">
                  <c:v>0</c:v>
                </c:pt>
                <c:pt idx="42">
                  <c:v>1.5</c:v>
                </c:pt>
                <c:pt idx="43">
                  <c:v>1.6</c:v>
                </c:pt>
                <c:pt idx="44">
                  <c:v>1.8</c:v>
                </c:pt>
                <c:pt idx="45">
                  <c:v>0</c:v>
                </c:pt>
                <c:pt idx="46">
                  <c:v>1.9</c:v>
                </c:pt>
                <c:pt idx="47">
                  <c:v>1.4</c:v>
                </c:pt>
                <c:pt idx="48">
                  <c:v>-0.3</c:v>
                </c:pt>
                <c:pt idx="49">
                  <c:v>-0.3</c:v>
                </c:pt>
                <c:pt idx="50">
                  <c:v>-2.2</c:v>
                </c:pt>
                <c:pt idx="51">
                  <c:v>-1.8</c:v>
                </c:pt>
                <c:pt idx="52">
                  <c:v>-1.4</c:v>
                </c:pt>
                <c:pt idx="53">
                  <c:v>0</c:v>
                </c:pt>
                <c:pt idx="54">
                  <c:v>0.3</c:v>
                </c:pt>
                <c:pt idx="55">
                  <c:v>1.1</c:v>
                </c:pt>
                <c:pt idx="56">
                  <c:v>1.4</c:v>
                </c:pt>
                <c:pt idx="57">
                  <c:v>0.3</c:v>
                </c:pt>
                <c:pt idx="58">
                  <c:v>1.6</c:v>
                </c:pt>
                <c:pt idx="59">
                  <c:v>0.8</c:v>
                </c:pt>
                <c:pt idx="60">
                  <c:v>1.4</c:v>
                </c:pt>
                <c:pt idx="61">
                  <c:v>1.8</c:v>
                </c:pt>
                <c:pt idx="62">
                  <c:v>0.3</c:v>
                </c:pt>
                <c:pt idx="63">
                  <c:v>-1.1</c:v>
                </c:pt>
                <c:pt idx="64">
                  <c:v>-4.9</c:v>
                </c:pt>
                <c:pt idx="65">
                  <c:v>-8.2</c:v>
                </c:pt>
                <c:pt idx="66">
                  <c:v>-9.8</c:v>
                </c:pt>
                <c:pt idx="67">
                  <c:v>-10.7</c:v>
                </c:pt>
                <c:pt idx="68">
                  <c:v>-10.9</c:v>
                </c:pt>
                <c:pt idx="69">
                  <c:v>-10.8</c:v>
                </c:pt>
                <c:pt idx="70">
                  <c:v>-10</c:v>
                </c:pt>
                <c:pt idx="71">
                  <c:v>-9</c:v>
                </c:pt>
                <c:pt idx="72">
                  <c:v>-7.6</c:v>
                </c:pt>
                <c:pt idx="73">
                  <c:v>-6.5</c:v>
                </c:pt>
                <c:pt idx="74">
                  <c:v>-5</c:v>
                </c:pt>
                <c:pt idx="75">
                  <c:v>-3.1</c:v>
                </c:pt>
                <c:pt idx="76">
                  <c:v>-2.7</c:v>
                </c:pt>
                <c:pt idx="77">
                  <c:v>0.8</c:v>
                </c:pt>
                <c:pt idx="78">
                  <c:v>1.8</c:v>
                </c:pt>
                <c:pt idx="79">
                  <c:v>0.4</c:v>
                </c:pt>
                <c:pt idx="80">
                  <c:v>1.4</c:v>
                </c:pt>
                <c:pt idx="81">
                  <c:v>-0.4</c:v>
                </c:pt>
                <c:pt idx="82">
                  <c:v>-0.4</c:v>
                </c:pt>
                <c:pt idx="83">
                  <c:v>0.4</c:v>
                </c:pt>
                <c:pt idx="84">
                  <c:v>2.4</c:v>
                </c:pt>
                <c:pt idx="85">
                  <c:v>2.8</c:v>
                </c:pt>
                <c:pt idx="86">
                  <c:v>1.4</c:v>
                </c:pt>
                <c:pt idx="87">
                  <c:v>2.4</c:v>
                </c:pt>
                <c:pt idx="88">
                  <c:v>1.8</c:v>
                </c:pt>
                <c:pt idx="89">
                  <c:v>2.7</c:v>
                </c:pt>
                <c:pt idx="90">
                  <c:v>4.1</c:v>
                </c:pt>
                <c:pt idx="91">
                  <c:v>3.6</c:v>
                </c:pt>
                <c:pt idx="92">
                  <c:v>4</c:v>
                </c:pt>
                <c:pt idx="93">
                  <c:v>1.7</c:v>
                </c:pt>
                <c:pt idx="94">
                  <c:v>1.7</c:v>
                </c:pt>
                <c:pt idx="95">
                  <c:v>1.3</c:v>
                </c:pt>
                <c:pt idx="96">
                  <c:v>-2.6</c:v>
                </c:pt>
                <c:pt idx="97">
                  <c:v>-1.7</c:v>
                </c:pt>
                <c:pt idx="98">
                  <c:v>-1.7</c:v>
                </c:pt>
                <c:pt idx="99">
                  <c:v>-2.2</c:v>
                </c:pt>
                <c:pt idx="100">
                  <c:v>2.6</c:v>
                </c:pt>
                <c:pt idx="101">
                  <c:v>3</c:v>
                </c:pt>
                <c:pt idx="102">
                  <c:v>3.9</c:v>
                </c:pt>
                <c:pt idx="103">
                  <c:v>5.7</c:v>
                </c:pt>
                <c:pt idx="104">
                  <c:v>4.2</c:v>
                </c:pt>
                <c:pt idx="105">
                  <c:v>4.7</c:v>
                </c:pt>
                <c:pt idx="106">
                  <c:v>4.7</c:v>
                </c:pt>
                <c:pt idx="107">
                  <c:v>7.1</c:v>
                </c:pt>
                <c:pt idx="108">
                  <c:v>7.4</c:v>
                </c:pt>
                <c:pt idx="109">
                  <c:v>6.5</c:v>
                </c:pt>
                <c:pt idx="110">
                  <c:v>6.4</c:v>
                </c:pt>
                <c:pt idx="111">
                  <c:v>3.1</c:v>
                </c:pt>
                <c:pt idx="112">
                  <c:v>2.7</c:v>
                </c:pt>
                <c:pt idx="113">
                  <c:v>0.8</c:v>
                </c:pt>
                <c:pt idx="114">
                  <c:v>2.3</c:v>
                </c:pt>
                <c:pt idx="115">
                  <c:v>2.9</c:v>
                </c:pt>
                <c:pt idx="116">
                  <c:v>2.6</c:v>
                </c:pt>
                <c:pt idx="117">
                  <c:v>3.4</c:v>
                </c:pt>
                <c:pt idx="118">
                  <c:v>1.1</c:v>
                </c:pt>
                <c:pt idx="119">
                  <c:v>-0.3</c:v>
                </c:pt>
                <c:pt idx="120">
                  <c:v>-1.4</c:v>
                </c:pt>
                <c:pt idx="121">
                  <c:v>-0.3</c:v>
                </c:pt>
                <c:pt idx="122">
                  <c:v>0.3</c:v>
                </c:pt>
                <c:pt idx="123">
                  <c:v>1.1</c:v>
                </c:pt>
                <c:pt idx="124">
                  <c:v>1.4</c:v>
                </c:pt>
                <c:pt idx="125">
                  <c:v>1.4</c:v>
                </c:pt>
                <c:pt idx="126">
                  <c:v>1.5</c:v>
                </c:pt>
                <c:pt idx="127">
                  <c:v>4</c:v>
                </c:pt>
                <c:pt idx="128">
                  <c:v>5.4</c:v>
                </c:pt>
                <c:pt idx="129">
                  <c:v>5.8</c:v>
                </c:pt>
                <c:pt idx="130">
                  <c:v>8.6</c:v>
                </c:pt>
                <c:pt idx="131">
                  <c:v>8.7</c:v>
                </c:pt>
                <c:pt idx="132">
                  <c:v>12.7</c:v>
                </c:pt>
                <c:pt idx="133">
                  <c:v>16.4</c:v>
                </c:pt>
                <c:pt idx="134">
                  <c:v>15.5</c:v>
                </c:pt>
                <c:pt idx="135">
                  <c:v>14.7</c:v>
                </c:pt>
                <c:pt idx="136">
                  <c:v>10.7</c:v>
                </c:pt>
                <c:pt idx="137">
                  <c:v>6.8</c:v>
                </c:pt>
                <c:pt idx="138">
                  <c:v>4</c:v>
                </c:pt>
                <c:pt idx="139">
                  <c:v>2</c:v>
                </c:pt>
                <c:pt idx="140">
                  <c:v>1.4</c:v>
                </c:pt>
                <c:pt idx="141">
                  <c:v>0.8</c:v>
                </c:pt>
                <c:pt idx="142">
                  <c:v>1.7</c:v>
                </c:pt>
                <c:pt idx="143">
                  <c:v>3</c:v>
                </c:pt>
                <c:pt idx="144">
                  <c:v>5.1</c:v>
                </c:pt>
                <c:pt idx="145">
                  <c:v>8.4</c:v>
                </c:pt>
                <c:pt idx="146">
                  <c:v>11.4</c:v>
                </c:pt>
                <c:pt idx="147">
                  <c:v>11.7</c:v>
                </c:pt>
                <c:pt idx="148">
                  <c:v>10.6</c:v>
                </c:pt>
                <c:pt idx="149">
                  <c:v>8.1</c:v>
                </c:pt>
                <c:pt idx="150">
                  <c:v>3.1</c:v>
                </c:pt>
                <c:pt idx="151">
                  <c:v>0.7</c:v>
                </c:pt>
                <c:pt idx="152">
                  <c:v>-1.2</c:v>
                </c:pt>
                <c:pt idx="153">
                  <c:v>-2.1</c:v>
                </c:pt>
                <c:pt idx="154">
                  <c:v>-1.6</c:v>
                </c:pt>
                <c:pt idx="155">
                  <c:v>-0.5</c:v>
                </c:pt>
                <c:pt idx="156">
                  <c:v>0.2</c:v>
                </c:pt>
                <c:pt idx="157">
                  <c:v>0.5</c:v>
                </c:pt>
                <c:pt idx="158">
                  <c:v>0.9</c:v>
                </c:pt>
                <c:pt idx="159">
                  <c:v>1</c:v>
                </c:pt>
                <c:pt idx="160">
                  <c:v>0.3</c:v>
                </c:pt>
                <c:pt idx="161">
                  <c:v>0.2</c:v>
                </c:pt>
                <c:pt idx="162">
                  <c:v>0.5</c:v>
                </c:pt>
                <c:pt idx="163">
                  <c:v>-0.3</c:v>
                </c:pt>
                <c:pt idx="164">
                  <c:v>0.2</c:v>
                </c:pt>
                <c:pt idx="165">
                  <c:v>0.2</c:v>
                </c:pt>
                <c:pt idx="166">
                  <c:v>0.5</c:v>
                </c:pt>
                <c:pt idx="167">
                  <c:v>2.1</c:v>
                </c:pt>
                <c:pt idx="168">
                  <c:v>2.6</c:v>
                </c:pt>
                <c:pt idx="169">
                  <c:v>3.3</c:v>
                </c:pt>
                <c:pt idx="170">
                  <c:v>4</c:v>
                </c:pt>
                <c:pt idx="171">
                  <c:v>3.3</c:v>
                </c:pt>
                <c:pt idx="172">
                  <c:v>2.7</c:v>
                </c:pt>
                <c:pt idx="173">
                  <c:v>2.9</c:v>
                </c:pt>
                <c:pt idx="174">
                  <c:v>2.5</c:v>
                </c:pt>
                <c:pt idx="175">
                  <c:v>1.8</c:v>
                </c:pt>
                <c:pt idx="176">
                  <c:v>2.2</c:v>
                </c:pt>
                <c:pt idx="177">
                  <c:v>1.6</c:v>
                </c:pt>
                <c:pt idx="178">
                  <c:v>0.7</c:v>
                </c:pt>
                <c:pt idx="179">
                  <c:v>1.3</c:v>
                </c:pt>
                <c:pt idx="180">
                  <c:v>1.3</c:v>
                </c:pt>
                <c:pt idx="181">
                  <c:v>1.3</c:v>
                </c:pt>
                <c:pt idx="182">
                  <c:v>2</c:v>
                </c:pt>
                <c:pt idx="183">
                  <c:v>0.8</c:v>
                </c:pt>
                <c:pt idx="184">
                  <c:v>1.3</c:v>
                </c:pt>
                <c:pt idx="185">
                  <c:v>1.5</c:v>
                </c:pt>
                <c:pt idx="186">
                  <c:v>1.3</c:v>
                </c:pt>
                <c:pt idx="187">
                  <c:v>1.3</c:v>
                </c:pt>
                <c:pt idx="188">
                  <c:v>0</c:v>
                </c:pt>
                <c:pt idx="189">
                  <c:v>0</c:v>
                </c:pt>
                <c:pt idx="190">
                  <c:v>0.8</c:v>
                </c:pt>
                <c:pt idx="191">
                  <c:v>1.5</c:v>
                </c:pt>
                <c:pt idx="192">
                  <c:v>1.9</c:v>
                </c:pt>
                <c:pt idx="193">
                  <c:v>1.9</c:v>
                </c:pt>
                <c:pt idx="194">
                  <c:v>1.1</c:v>
                </c:pt>
                <c:pt idx="195">
                  <c:v>1.9</c:v>
                </c:pt>
                <c:pt idx="196">
                  <c:v>1.7</c:v>
                </c:pt>
                <c:pt idx="197">
                  <c:v>1.9</c:v>
                </c:pt>
                <c:pt idx="198">
                  <c:v>2.5</c:v>
                </c:pt>
                <c:pt idx="199">
                  <c:v>1.7</c:v>
                </c:pt>
                <c:pt idx="200">
                  <c:v>1.6</c:v>
                </c:pt>
                <c:pt idx="201">
                  <c:v>1.8</c:v>
                </c:pt>
                <c:pt idx="202">
                  <c:v>2.3</c:v>
                </c:pt>
                <c:pt idx="203">
                  <c:v>2.4</c:v>
                </c:pt>
                <c:pt idx="204">
                  <c:v>2.8</c:v>
                </c:pt>
                <c:pt idx="205">
                  <c:v>3.6</c:v>
                </c:pt>
                <c:pt idx="206">
                  <c:v>3.9</c:v>
                </c:pt>
                <c:pt idx="207">
                  <c:v>4</c:v>
                </c:pt>
                <c:pt idx="208">
                  <c:v>3.7</c:v>
                </c:pt>
                <c:pt idx="209">
                  <c:v>3.1</c:v>
                </c:pt>
                <c:pt idx="210">
                  <c:v>3.3</c:v>
                </c:pt>
                <c:pt idx="211">
                  <c:v>4</c:v>
                </c:pt>
                <c:pt idx="212">
                  <c:v>4</c:v>
                </c:pt>
                <c:pt idx="213">
                  <c:v>4.5</c:v>
                </c:pt>
                <c:pt idx="214">
                  <c:v>3.5</c:v>
                </c:pt>
                <c:pt idx="215">
                  <c:v>3.8</c:v>
                </c:pt>
                <c:pt idx="216">
                  <c:v>4.4</c:v>
                </c:pt>
                <c:pt idx="217">
                  <c:v>3.8</c:v>
                </c:pt>
                <c:pt idx="218">
                  <c:v>5.4</c:v>
                </c:pt>
                <c:pt idx="219">
                  <c:v>4.7</c:v>
                </c:pt>
                <c:pt idx="220">
                  <c:v>4.4</c:v>
                </c:pt>
                <c:pt idx="221">
                  <c:v>5</c:v>
                </c:pt>
                <c:pt idx="222">
                  <c:v>3.4</c:v>
                </c:pt>
                <c:pt idx="223">
                  <c:v>3</c:v>
                </c:pt>
                <c:pt idx="224">
                  <c:v>2</c:v>
                </c:pt>
                <c:pt idx="225">
                  <c:v>1.3</c:v>
                </c:pt>
                <c:pt idx="226">
                  <c:v>2.1</c:v>
                </c:pt>
                <c:pt idx="227">
                  <c:v>3.1</c:v>
                </c:pt>
                <c:pt idx="228">
                  <c:v>4.2</c:v>
                </c:pt>
                <c:pt idx="229">
                  <c:v>5</c:v>
                </c:pt>
                <c:pt idx="230">
                  <c:v>4.7</c:v>
                </c:pt>
                <c:pt idx="231">
                  <c:v>5.1</c:v>
                </c:pt>
                <c:pt idx="232">
                  <c:v>5.2</c:v>
                </c:pt>
                <c:pt idx="233">
                  <c:v>5.7</c:v>
                </c:pt>
                <c:pt idx="234">
                  <c:v>7.1</c:v>
                </c:pt>
                <c:pt idx="235">
                  <c:v>7.9</c:v>
                </c:pt>
                <c:pt idx="236">
                  <c:v>9.1</c:v>
                </c:pt>
                <c:pt idx="237">
                  <c:v>9.7</c:v>
                </c:pt>
                <c:pt idx="238">
                  <c:v>11.1</c:v>
                </c:pt>
                <c:pt idx="239">
                  <c:v>11</c:v>
                </c:pt>
                <c:pt idx="240">
                  <c:v>12.1</c:v>
                </c:pt>
                <c:pt idx="241">
                  <c:v>11.6</c:v>
                </c:pt>
                <c:pt idx="242">
                  <c:v>10.5</c:v>
                </c:pt>
                <c:pt idx="243">
                  <c:v>10.8</c:v>
                </c:pt>
                <c:pt idx="244">
                  <c:v>9.9</c:v>
                </c:pt>
                <c:pt idx="245">
                  <c:v>9.5</c:v>
                </c:pt>
                <c:pt idx="246">
                  <c:v>8.4</c:v>
                </c:pt>
                <c:pt idx="247">
                  <c:v>6.6</c:v>
                </c:pt>
                <c:pt idx="248">
                  <c:v>5.9</c:v>
                </c:pt>
                <c:pt idx="249">
                  <c:v>6.6</c:v>
                </c:pt>
                <c:pt idx="250">
                  <c:v>7.8</c:v>
                </c:pt>
                <c:pt idx="251">
                  <c:v>8.4</c:v>
                </c:pt>
                <c:pt idx="252">
                  <c:v>9.1</c:v>
                </c:pt>
                <c:pt idx="253">
                  <c:v>9</c:v>
                </c:pt>
                <c:pt idx="254">
                  <c:v>8.8</c:v>
                </c:pt>
                <c:pt idx="255">
                  <c:v>9.2</c:v>
                </c:pt>
                <c:pt idx="256">
                  <c:v>8.8</c:v>
                </c:pt>
                <c:pt idx="257">
                  <c:v>9</c:v>
                </c:pt>
                <c:pt idx="258">
                  <c:v>9.4</c:v>
                </c:pt>
                <c:pt idx="259">
                  <c:v>8.8</c:v>
                </c:pt>
                <c:pt idx="260">
                  <c:v>9.4</c:v>
                </c:pt>
                <c:pt idx="261">
                  <c:v>9.5</c:v>
                </c:pt>
                <c:pt idx="262">
                  <c:v>9.5</c:v>
                </c:pt>
                <c:pt idx="263">
                  <c:v>10.5</c:v>
                </c:pt>
                <c:pt idx="264">
                  <c:v>11</c:v>
                </c:pt>
                <c:pt idx="265">
                  <c:v>12.3</c:v>
                </c:pt>
                <c:pt idx="266">
                  <c:v>12.5</c:v>
                </c:pt>
                <c:pt idx="267">
                  <c:v>12.7</c:v>
                </c:pt>
                <c:pt idx="268">
                  <c:v>12.3</c:v>
                </c:pt>
                <c:pt idx="269">
                  <c:v>11.4</c:v>
                </c:pt>
                <c:pt idx="270">
                  <c:v>11.6</c:v>
                </c:pt>
                <c:pt idx="271">
                  <c:v>10.6</c:v>
                </c:pt>
                <c:pt idx="272">
                  <c:v>9.6</c:v>
                </c:pt>
                <c:pt idx="273">
                  <c:v>7.7</c:v>
                </c:pt>
                <c:pt idx="274">
                  <c:v>5.9</c:v>
                </c:pt>
                <c:pt idx="275">
                  <c:v>5.3</c:v>
                </c:pt>
                <c:pt idx="276">
                  <c:v>4.7</c:v>
                </c:pt>
                <c:pt idx="277">
                  <c:v>5.1</c:v>
                </c:pt>
                <c:pt idx="278">
                  <c:v>4.6</c:v>
                </c:pt>
                <c:pt idx="279">
                  <c:v>3.8</c:v>
                </c:pt>
                <c:pt idx="280">
                  <c:v>3.7</c:v>
                </c:pt>
                <c:pt idx="281">
                  <c:v>3.6</c:v>
                </c:pt>
                <c:pt idx="282">
                  <c:v>4</c:v>
                </c:pt>
                <c:pt idx="283">
                  <c:v>4.1</c:v>
                </c:pt>
                <c:pt idx="284">
                  <c:v>4.1</c:v>
                </c:pt>
                <c:pt idx="285">
                  <c:v>4.3</c:v>
                </c:pt>
                <c:pt idx="286">
                  <c:v>3.9</c:v>
                </c:pt>
                <c:pt idx="287">
                  <c:v>4.2</c:v>
                </c:pt>
                <c:pt idx="288">
                  <c:v>4.4</c:v>
                </c:pt>
                <c:pt idx="289">
                  <c:v>4</c:v>
                </c:pt>
                <c:pt idx="290">
                  <c:v>4.6</c:v>
                </c:pt>
                <c:pt idx="291">
                  <c:v>4.5</c:v>
                </c:pt>
                <c:pt idx="292">
                  <c:v>4.2</c:v>
                </c:pt>
                <c:pt idx="293">
                  <c:v>4.1</c:v>
                </c:pt>
                <c:pt idx="294">
                  <c:v>4</c:v>
                </c:pt>
                <c:pt idx="295">
                  <c:v>4</c:v>
                </c:pt>
                <c:pt idx="296">
                  <c:v>4.1</c:v>
                </c:pt>
                <c:pt idx="297">
                  <c:v>4.5</c:v>
                </c:pt>
                <c:pt idx="298">
                  <c:v>4.9</c:v>
                </c:pt>
                <c:pt idx="299">
                  <c:v>5.3</c:v>
                </c:pt>
                <c:pt idx="300">
                  <c:v>5.2</c:v>
                </c:pt>
                <c:pt idx="301">
                  <c:v>5.4</c:v>
                </c:pt>
                <c:pt idx="302">
                  <c:v>4.6</c:v>
                </c:pt>
                <c:pt idx="303">
                  <c:v>4.1</c:v>
                </c:pt>
                <c:pt idx="304">
                  <c:v>5</c:v>
                </c:pt>
                <c:pt idx="305">
                  <c:v>6.4</c:v>
                </c:pt>
                <c:pt idx="306">
                  <c:v>6.2</c:v>
                </c:pt>
                <c:pt idx="307">
                  <c:v>5.8</c:v>
                </c:pt>
                <c:pt idx="308">
                  <c:v>4.1</c:v>
                </c:pt>
                <c:pt idx="309">
                  <c:v>1.6</c:v>
                </c:pt>
                <c:pt idx="310">
                  <c:v>1.4</c:v>
                </c:pt>
                <c:pt idx="311">
                  <c:v>1.2</c:v>
                </c:pt>
                <c:pt idx="312">
                  <c:v>1.8</c:v>
                </c:pt>
                <c:pt idx="313">
                  <c:v>2.1</c:v>
                </c:pt>
                <c:pt idx="314">
                  <c:v>1.8</c:v>
                </c:pt>
                <c:pt idx="315">
                  <c:v>1.7</c:v>
                </c:pt>
                <c:pt idx="316">
                  <c:v>1.8</c:v>
                </c:pt>
                <c:pt idx="317">
                  <c:v>0.5</c:v>
                </c:pt>
                <c:pt idx="318">
                  <c:v>0</c:v>
                </c:pt>
                <c:pt idx="319">
                  <c:v>0.2</c:v>
                </c:pt>
                <c:pt idx="320">
                  <c:v>0</c:v>
                </c:pt>
                <c:pt idx="321">
                  <c:v>1.5</c:v>
                </c:pt>
                <c:pt idx="322">
                  <c:v>2.7</c:v>
                </c:pt>
                <c:pt idx="323">
                  <c:v>2.3</c:v>
                </c:pt>
                <c:pt idx="324">
                  <c:v>2</c:v>
                </c:pt>
                <c:pt idx="325">
                  <c:v>1.5</c:v>
                </c:pt>
                <c:pt idx="326">
                  <c:v>1.4</c:v>
                </c:pt>
                <c:pt idx="327">
                  <c:v>1.4</c:v>
                </c:pt>
                <c:pt idx="328">
                  <c:v>2</c:v>
                </c:pt>
                <c:pt idx="329">
                  <c:v>2.1</c:v>
                </c:pt>
                <c:pt idx="330">
                  <c:v>1.6</c:v>
                </c:pt>
                <c:pt idx="331">
                  <c:v>1.7</c:v>
                </c:pt>
                <c:pt idx="332">
                  <c:v>1</c:v>
                </c:pt>
                <c:pt idx="333">
                  <c:v>1</c:v>
                </c:pt>
                <c:pt idx="334">
                  <c:v>1</c:v>
                </c:pt>
                <c:pt idx="335">
                  <c:v>0.8</c:v>
                </c:pt>
                <c:pt idx="336">
                  <c:v>1.1</c:v>
                </c:pt>
                <c:pt idx="337">
                  <c:v>0.8</c:v>
                </c:pt>
                <c:pt idx="338">
                  <c:v>1.6</c:v>
                </c:pt>
                <c:pt idx="339">
                  <c:v>2.2</c:v>
                </c:pt>
                <c:pt idx="340">
                  <c:v>2.4</c:v>
                </c:pt>
                <c:pt idx="341">
                  <c:v>2.6</c:v>
                </c:pt>
                <c:pt idx="342">
                  <c:v>2.4</c:v>
                </c:pt>
                <c:pt idx="343">
                  <c:v>2.7</c:v>
                </c:pt>
                <c:pt idx="344">
                  <c:v>3.1</c:v>
                </c:pt>
                <c:pt idx="345">
                  <c:v>2.8</c:v>
                </c:pt>
                <c:pt idx="346">
                  <c:v>3.6</c:v>
                </c:pt>
                <c:pt idx="347">
                  <c:v>2.7</c:v>
                </c:pt>
                <c:pt idx="348">
                  <c:v>1.1</c:v>
                </c:pt>
                <c:pt idx="349">
                  <c:v>1.6</c:v>
                </c:pt>
                <c:pt idx="350">
                  <c:v>1.4</c:v>
                </c:pt>
                <c:pt idx="351">
                  <c:v>2.3</c:v>
                </c:pt>
                <c:pt idx="352">
                  <c:v>3.8</c:v>
                </c:pt>
                <c:pt idx="353">
                  <c:v>4.5</c:v>
                </c:pt>
                <c:pt idx="354">
                  <c:v>2.8</c:v>
                </c:pt>
                <c:pt idx="355">
                  <c:v>2.1</c:v>
                </c:pt>
                <c:pt idx="356">
                  <c:v>1.7</c:v>
                </c:pt>
                <c:pt idx="357">
                  <c:v>0.9</c:v>
                </c:pt>
                <c:pt idx="358">
                  <c:v>2.2</c:v>
                </c:pt>
                <c:pt idx="359">
                  <c:v>2</c:v>
                </c:pt>
                <c:pt idx="360">
                  <c:v>2.3</c:v>
                </c:pt>
                <c:pt idx="361">
                  <c:v>2.1</c:v>
                </c:pt>
                <c:pt idx="362">
                  <c:v>1.9</c:v>
                </c:pt>
                <c:pt idx="363">
                  <c:v>2.6</c:v>
                </c:pt>
                <c:pt idx="364">
                  <c:v>2.2</c:v>
                </c:pt>
                <c:pt idx="365">
                  <c:v>2.4</c:v>
                </c:pt>
                <c:pt idx="366">
                  <c:v>2.6</c:v>
                </c:pt>
                <c:pt idx="367">
                  <c:v>1.7</c:v>
                </c:pt>
                <c:pt idx="368">
                  <c:v>1.4</c:v>
                </c:pt>
                <c:pt idx="369">
                  <c:v>1.8</c:v>
                </c:pt>
                <c:pt idx="370">
                  <c:v>2.2</c:v>
                </c:pt>
                <c:pt idx="371">
                  <c:v>2.1</c:v>
                </c:pt>
                <c:pt idx="372">
                  <c:v>2.4</c:v>
                </c:pt>
                <c:pt idx="373">
                  <c:v>1.8</c:v>
                </c:pt>
                <c:pt idx="374">
                  <c:v>2.4</c:v>
                </c:pt>
                <c:pt idx="375">
                  <c:v>3.4</c:v>
                </c:pt>
                <c:pt idx="376">
                  <c:v>1.9</c:v>
                </c:pt>
                <c:pt idx="377">
                  <c:v>1.2</c:v>
                </c:pt>
                <c:pt idx="378">
                  <c:v>0.1</c:v>
                </c:pt>
                <c:pt idx="379">
                  <c:v>-0.9</c:v>
                </c:pt>
                <c:pt idx="380">
                  <c:v>0.8</c:v>
                </c:pt>
                <c:pt idx="381">
                  <c:v>1.6</c:v>
                </c:pt>
                <c:pt idx="382">
                  <c:v>1.4</c:v>
                </c:pt>
                <c:pt idx="383">
                  <c:v>1.8</c:v>
                </c:pt>
                <c:pt idx="384">
                  <c:v>2.3</c:v>
                </c:pt>
                <c:pt idx="385">
                  <c:v>2.6</c:v>
                </c:pt>
                <c:pt idx="386">
                  <c:v>3.4</c:v>
                </c:pt>
                <c:pt idx="387">
                  <c:v>3</c:v>
                </c:pt>
                <c:pt idx="388">
                  <c:v>2.7</c:v>
                </c:pt>
                <c:pt idx="389">
                  <c:v>2.3</c:v>
                </c:pt>
                <c:pt idx="390">
                  <c:v>1.6</c:v>
                </c:pt>
                <c:pt idx="391">
                  <c:v>1.2</c:v>
                </c:pt>
                <c:pt idx="392">
                  <c:v>0.9</c:v>
                </c:pt>
                <c:pt idx="393">
                  <c:v>0.9</c:v>
                </c:pt>
                <c:pt idx="394">
                  <c:v>0.8</c:v>
                </c:pt>
                <c:pt idx="395">
                  <c:v>1.1</c:v>
                </c:pt>
                <c:pt idx="396">
                  <c:v>0.9</c:v>
                </c:pt>
                <c:pt idx="397">
                  <c:v>1.4</c:v>
                </c:pt>
                <c:pt idx="398">
                  <c:v>2.2</c:v>
                </c:pt>
                <c:pt idx="399">
                  <c:v>2.1</c:v>
                </c:pt>
                <c:pt idx="400">
                  <c:v>1.9</c:v>
                </c:pt>
                <c:pt idx="401">
                  <c:v>1.1</c:v>
                </c:pt>
                <c:pt idx="402">
                  <c:v>0.9</c:v>
                </c:pt>
                <c:pt idx="403">
                  <c:v>1.2</c:v>
                </c:pt>
                <c:pt idx="404">
                  <c:v>1.3</c:v>
                </c:pt>
                <c:pt idx="405">
                  <c:v>1.5</c:v>
                </c:pt>
                <c:pt idx="406">
                  <c:v>1.5</c:v>
                </c:pt>
                <c:pt idx="407">
                  <c:v>1.2</c:v>
                </c:pt>
                <c:pt idx="408">
                  <c:v>1.4</c:v>
                </c:pt>
                <c:pt idx="409">
                  <c:v>1.9</c:v>
                </c:pt>
                <c:pt idx="410">
                  <c:v>1.3</c:v>
                </c:pt>
                <c:pt idx="411">
                  <c:v>1.4</c:v>
                </c:pt>
                <c:pt idx="412">
                  <c:v>1.8</c:v>
                </c:pt>
                <c:pt idx="413">
                  <c:v>2.1</c:v>
                </c:pt>
                <c:pt idx="414">
                  <c:v>2.3</c:v>
                </c:pt>
                <c:pt idx="415">
                  <c:v>2.7</c:v>
                </c:pt>
                <c:pt idx="416">
                  <c:v>2</c:v>
                </c:pt>
                <c:pt idx="417">
                  <c:v>1.6</c:v>
                </c:pt>
                <c:pt idx="418">
                  <c:v>2.2</c:v>
                </c:pt>
                <c:pt idx="419">
                  <c:v>1.9</c:v>
                </c:pt>
                <c:pt idx="420">
                  <c:v>2.1</c:v>
                </c:pt>
                <c:pt idx="421">
                  <c:v>1.8</c:v>
                </c:pt>
                <c:pt idx="422">
                  <c:v>0</c:v>
                </c:pt>
                <c:pt idx="423">
                  <c:v>0.3</c:v>
                </c:pt>
                <c:pt idx="424">
                  <c:v>0.8</c:v>
                </c:pt>
                <c:pt idx="425">
                  <c:v>1.4</c:v>
                </c:pt>
                <c:pt idx="426">
                  <c:v>3.4</c:v>
                </c:pt>
                <c:pt idx="427">
                  <c:v>4.1</c:v>
                </c:pt>
                <c:pt idx="428">
                  <c:v>4.7</c:v>
                </c:pt>
                <c:pt idx="429">
                  <c:v>5.8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marker val="0"/>
        <c:smooth val="1"/>
        <c:axId val="196403376"/>
        <c:axId val="549376463"/>
      </c:lineChart>
      <c:catAx>
        <c:axId val="196403376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Arial" panose="020B0604020202020204" pitchFamily="7" charset="0"/>
                    <a:ea typeface="Arial" panose="020B0604020202020204" pitchFamily="7" charset="0"/>
                    <a:cs typeface="Arial" panose="020B0604020202020204" pitchFamily="7" charset="0"/>
                    <a:sym typeface="Arial" panose="020B0604020202020204" pitchFamily="7" charset="0"/>
                  </a:defRPr>
                </a:pPr>
                <a:r>
                  <a:rPr lang="en-US" altLang="zh-CN">
                    <a:latin typeface="Arial" panose="020B0604020202020204" pitchFamily="7" charset="0"/>
                    <a:ea typeface="Arial" panose="020B0604020202020204" pitchFamily="7" charset="0"/>
                    <a:cs typeface="Arial" panose="020B0604020202020204" pitchFamily="7" charset="0"/>
                    <a:sym typeface="Arial" panose="020B0604020202020204" pitchFamily="7" charset="0"/>
                  </a:rPr>
                  <a:t>Time</a:t>
                </a:r>
                <a:endParaRPr lang="en-US" altLang="zh-CN">
                  <a:latin typeface="Arial" panose="020B0604020202020204" pitchFamily="7" charset="0"/>
                  <a:ea typeface="Arial" panose="020B0604020202020204" pitchFamily="7" charset="0"/>
                  <a:cs typeface="Arial" panose="020B0604020202020204" pitchFamily="7" charset="0"/>
                  <a:sym typeface="Arial" panose="020B0604020202020204" pitchFamily="7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Arial" panose="020B0604020202020204" pitchFamily="7" charset="0"/>
                <a:ea typeface="Arial" panose="020B0604020202020204" pitchFamily="7" charset="0"/>
                <a:cs typeface="Arial" panose="020B0604020202020204" pitchFamily="7" charset="0"/>
                <a:sym typeface="Arial" panose="020B0604020202020204" pitchFamily="7" charset="0"/>
              </a:defRPr>
            </a:pPr>
          </a:p>
        </c:txPr>
        <c:crossAx val="549376463"/>
        <c:crosses val="autoZero"/>
        <c:auto val="1"/>
        <c:lblAlgn val="ctr"/>
        <c:lblOffset val="100"/>
        <c:noMultiLvlLbl val="0"/>
      </c:catAx>
      <c:valAx>
        <c:axId val="549376463"/>
        <c:scaling>
          <c:orientation val="minMax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Arial" panose="020B0604020202020204" pitchFamily="7" charset="0"/>
                    <a:ea typeface="Arial" panose="020B0604020202020204" pitchFamily="7" charset="0"/>
                    <a:cs typeface="Arial" panose="020B0604020202020204" pitchFamily="7" charset="0"/>
                    <a:sym typeface="Arial" panose="020B0604020202020204" pitchFamily="7" charset="0"/>
                  </a:defRPr>
                </a:pPr>
                <a:r>
                  <a:rPr lang="en-US" altLang="zh-CN">
                    <a:latin typeface="Arial" panose="020B0604020202020204" pitchFamily="7" charset="0"/>
                    <a:ea typeface="Arial" panose="020B0604020202020204" pitchFamily="7" charset="0"/>
                    <a:cs typeface="Arial" panose="020B0604020202020204" pitchFamily="7" charset="0"/>
                    <a:sym typeface="Arial" panose="020B0604020202020204" pitchFamily="7" charset="0"/>
                  </a:rPr>
                  <a:t>Inflation rate in percentage</a:t>
                </a:r>
                <a:endParaRPr lang="en-US" altLang="zh-CN">
                  <a:latin typeface="Arial" panose="020B0604020202020204" pitchFamily="7" charset="0"/>
                  <a:ea typeface="Arial" panose="020B0604020202020204" pitchFamily="7" charset="0"/>
                  <a:cs typeface="Arial" panose="020B0604020202020204" pitchFamily="7" charset="0"/>
                  <a:sym typeface="Arial" panose="020B0604020202020204" pitchFamily="7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9640337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Office_11.1.0.11579_F1E327BC-269C-435d-A152-05C5408002CA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2022-06-26T08:07:00Z</dcterms:created>
  <dc:creator>Hollie</dc:creator>
  <cp:lastModifiedBy>Hollie</cp:lastModifiedBy>
  <dcterms:modified xsi:type="dcterms:W3CDTF">2022-06-26T15:03:03Z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5B9218065FEF4EF099A5011D1969F701</vt:lpwstr>
  </property>
</Properties>
</file>